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4A" w:rsidRDefault="009D1B4A" w:rsidP="009D1B4A"/>
    <w:p w:rsidR="00706597" w:rsidRDefault="00706597" w:rsidP="00706597">
      <w:pPr>
        <w:pStyle w:val="Balk1"/>
        <w:spacing w:before="0"/>
        <w:contextualSpacing/>
        <w:jc w:val="both"/>
        <w:rPr>
          <w:color w:val="1F497D" w:themeColor="text2"/>
        </w:rPr>
      </w:pPr>
    </w:p>
    <w:p w:rsidR="00706597" w:rsidRPr="00105E72" w:rsidRDefault="00706597" w:rsidP="00706597">
      <w:pPr>
        <w:pStyle w:val="Balk1"/>
        <w:spacing w:before="0"/>
        <w:contextualSpacing/>
        <w:jc w:val="both"/>
        <w:rPr>
          <w:color w:val="1F497D" w:themeColor="text2"/>
        </w:rPr>
      </w:pPr>
      <w:r w:rsidRPr="00105E72">
        <w:rPr>
          <w:color w:val="1F497D" w:themeColor="text2"/>
        </w:rPr>
        <w:t>İstatistik Bülteni</w:t>
      </w:r>
      <w:r>
        <w:rPr>
          <w:color w:val="1F497D" w:themeColor="text2"/>
        </w:rPr>
        <w:t xml:space="preserve"> - </w:t>
      </w:r>
      <w:r w:rsidRPr="00105E72">
        <w:rPr>
          <w:color w:val="1F497D" w:themeColor="text2"/>
        </w:rPr>
        <w:t xml:space="preserve">Konut Satışları 2014 </w:t>
      </w:r>
      <w:r w:rsidR="002E55B7">
        <w:rPr>
          <w:color w:val="1F497D" w:themeColor="text2"/>
        </w:rPr>
        <w:t>Ekim</w:t>
      </w:r>
      <w:r w:rsidRPr="00105E72">
        <w:rPr>
          <w:color w:val="1F497D" w:themeColor="text2"/>
        </w:rPr>
        <w:t xml:space="preserve"> Ayı Verileri</w:t>
      </w:r>
    </w:p>
    <w:p w:rsidR="00706597" w:rsidRDefault="00706597" w:rsidP="00706597">
      <w:pPr>
        <w:contextualSpacing/>
        <w:jc w:val="both"/>
        <w:rPr>
          <w:rFonts w:asciiTheme="majorHAnsi" w:hAnsiTheme="majorHAnsi"/>
          <w:b/>
        </w:rPr>
      </w:pPr>
    </w:p>
    <w:p w:rsidR="00706597" w:rsidRDefault="00706597" w:rsidP="00706597">
      <w:pPr>
        <w:contextualSpacing/>
        <w:jc w:val="both"/>
        <w:rPr>
          <w:rFonts w:asciiTheme="majorHAnsi" w:hAnsiTheme="majorHAnsi"/>
          <w:b/>
        </w:rPr>
      </w:pPr>
    </w:p>
    <w:p w:rsidR="00706597" w:rsidRDefault="00706597" w:rsidP="00706597">
      <w:pPr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TÜİK tarafından açıklanan konut satış verilerine göre 2014 yılı </w:t>
      </w:r>
      <w:r w:rsidR="002E55B7">
        <w:rPr>
          <w:rFonts w:asciiTheme="majorHAnsi" w:hAnsiTheme="majorHAnsi"/>
        </w:rPr>
        <w:t>Ekim</w:t>
      </w:r>
      <w:r>
        <w:rPr>
          <w:rFonts w:asciiTheme="majorHAnsi" w:hAnsiTheme="majorHAnsi"/>
        </w:rPr>
        <w:t xml:space="preserve"> ayında Türkiye geneli ve İstanbul’da tapuda el değiştiren konut adetleri aşağıdaki gibidir.</w:t>
      </w:r>
    </w:p>
    <w:p w:rsidR="005B2A11" w:rsidRDefault="005B2A11" w:rsidP="00706597">
      <w:pPr>
        <w:contextualSpacing/>
        <w:jc w:val="both"/>
        <w:rPr>
          <w:rFonts w:asciiTheme="majorHAnsi" w:hAnsiTheme="majorHAnsi"/>
        </w:rPr>
      </w:pPr>
    </w:p>
    <w:tbl>
      <w:tblPr>
        <w:tblW w:w="66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60"/>
        <w:gridCol w:w="1140"/>
        <w:gridCol w:w="1100"/>
        <w:gridCol w:w="1120"/>
        <w:gridCol w:w="1720"/>
      </w:tblGrid>
      <w:tr w:rsidR="005B2A11" w:rsidRPr="005B2A11" w:rsidTr="005B2A1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TÜRKİYE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</w:tr>
      <w:tr w:rsidR="005B2A11" w:rsidRPr="005B2A11" w:rsidTr="005B2A1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</w:tr>
      <w:tr w:rsidR="005B2A11" w:rsidRPr="005B2A11" w:rsidTr="005B2A11">
        <w:trPr>
          <w:trHeight w:val="465"/>
        </w:trPr>
        <w:tc>
          <w:tcPr>
            <w:tcW w:w="156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Eli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Türü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2013</w:t>
            </w: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br/>
              <w:t>Ekim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2014</w:t>
            </w: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br/>
              <w:t>Ekim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Fark %</w:t>
            </w:r>
          </w:p>
        </w:tc>
      </w:tr>
      <w:tr w:rsidR="005B2A11" w:rsidRPr="005B2A11" w:rsidTr="005B2A1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Birinci El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İpotekli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11.863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 xml:space="preserve">      15.176   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28%</w:t>
            </w:r>
          </w:p>
        </w:tc>
      </w:tr>
      <w:tr w:rsidR="005B2A11" w:rsidRPr="005B2A11" w:rsidTr="005B2A1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Diğer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23.500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 xml:space="preserve">      29.323   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25%</w:t>
            </w:r>
          </w:p>
        </w:tc>
      </w:tr>
      <w:tr w:rsidR="005B2A11" w:rsidRPr="005B2A11" w:rsidTr="005B2A11">
        <w:trPr>
          <w:trHeight w:val="300"/>
        </w:trPr>
        <w:tc>
          <w:tcPr>
            <w:tcW w:w="156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Toplam Birinci El</w:t>
            </w:r>
          </w:p>
        </w:tc>
        <w:tc>
          <w:tcPr>
            <w:tcW w:w="114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0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35.363</w:t>
            </w:r>
          </w:p>
        </w:tc>
        <w:tc>
          <w:tcPr>
            <w:tcW w:w="112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44.499</w:t>
            </w:r>
          </w:p>
        </w:tc>
        <w:tc>
          <w:tcPr>
            <w:tcW w:w="172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26%</w:t>
            </w:r>
          </w:p>
        </w:tc>
      </w:tr>
      <w:tr w:rsidR="005B2A11" w:rsidRPr="005B2A11" w:rsidTr="005B2A1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İkinci El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İpotekli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14.474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 xml:space="preserve">      19.275   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33%</w:t>
            </w:r>
          </w:p>
        </w:tc>
      </w:tr>
      <w:tr w:rsidR="005B2A11" w:rsidRPr="005B2A11" w:rsidTr="005B2A1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Diğer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26.507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 xml:space="preserve">      31.871   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20%</w:t>
            </w:r>
          </w:p>
        </w:tc>
      </w:tr>
      <w:tr w:rsidR="005B2A11" w:rsidRPr="005B2A11" w:rsidTr="005B2A11">
        <w:trPr>
          <w:trHeight w:val="300"/>
        </w:trPr>
        <w:tc>
          <w:tcPr>
            <w:tcW w:w="156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Toplam İkinci El</w:t>
            </w:r>
          </w:p>
        </w:tc>
        <w:tc>
          <w:tcPr>
            <w:tcW w:w="114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0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40.981</w:t>
            </w:r>
          </w:p>
        </w:tc>
        <w:tc>
          <w:tcPr>
            <w:tcW w:w="112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51.146</w:t>
            </w:r>
          </w:p>
        </w:tc>
        <w:tc>
          <w:tcPr>
            <w:tcW w:w="172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25%</w:t>
            </w:r>
          </w:p>
        </w:tc>
      </w:tr>
      <w:tr w:rsidR="005B2A11" w:rsidRPr="005B2A11" w:rsidTr="005B2A1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Genel Toplam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10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76.344</w:t>
            </w:r>
          </w:p>
        </w:tc>
        <w:tc>
          <w:tcPr>
            <w:tcW w:w="112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95.645</w:t>
            </w:r>
          </w:p>
        </w:tc>
        <w:tc>
          <w:tcPr>
            <w:tcW w:w="172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25%</w:t>
            </w:r>
          </w:p>
        </w:tc>
      </w:tr>
      <w:tr w:rsidR="005B2A11" w:rsidRPr="005B2A11" w:rsidTr="005B2A1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</w:tr>
      <w:tr w:rsidR="005B2A11" w:rsidRPr="005B2A11" w:rsidTr="005B2A1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Birinci Elin Payı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46%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47%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</w:tr>
      <w:tr w:rsidR="005B2A11" w:rsidRPr="005B2A11" w:rsidTr="005B2A11">
        <w:trPr>
          <w:trHeight w:val="300"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İpotekli Satışların Payı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34%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36%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</w:tr>
      <w:tr w:rsidR="005B2A11" w:rsidRPr="005B2A11" w:rsidTr="005B2A11">
        <w:trPr>
          <w:trHeight w:val="300"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</w:tr>
    </w:tbl>
    <w:p w:rsidR="005B2A11" w:rsidRDefault="005B2A11" w:rsidP="00706597">
      <w:pPr>
        <w:contextualSpacing/>
        <w:jc w:val="both"/>
        <w:rPr>
          <w:rFonts w:asciiTheme="majorHAnsi" w:hAnsiTheme="majorHAnsi"/>
        </w:rPr>
      </w:pPr>
    </w:p>
    <w:tbl>
      <w:tblPr>
        <w:tblW w:w="65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040"/>
        <w:gridCol w:w="1600"/>
        <w:gridCol w:w="1420"/>
        <w:gridCol w:w="1060"/>
        <w:gridCol w:w="1420"/>
      </w:tblGrid>
      <w:tr w:rsidR="005B2A11" w:rsidRPr="005B2A11" w:rsidTr="005B2A11">
        <w:trPr>
          <w:trHeight w:val="30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İSTANBUL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</w:tr>
      <w:tr w:rsidR="005B2A11" w:rsidRPr="005B2A11" w:rsidTr="005B2A11">
        <w:trPr>
          <w:trHeight w:val="30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</w:p>
        </w:tc>
      </w:tr>
      <w:tr w:rsidR="005B2A11" w:rsidRPr="005B2A11" w:rsidTr="005B2A11">
        <w:trPr>
          <w:trHeight w:val="465"/>
        </w:trPr>
        <w:tc>
          <w:tcPr>
            <w:tcW w:w="10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Eli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Türü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2013</w:t>
            </w: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br/>
              <w:t>Ekim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2014</w:t>
            </w: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br/>
              <w:t>Ekim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Fark %</w:t>
            </w:r>
          </w:p>
        </w:tc>
      </w:tr>
      <w:tr w:rsidR="005B2A11" w:rsidRPr="005B2A11" w:rsidTr="005B2A11">
        <w:trPr>
          <w:trHeight w:val="30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Birinci El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İpotekli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3.120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 xml:space="preserve">       3.399   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9%</w:t>
            </w:r>
          </w:p>
        </w:tc>
      </w:tr>
      <w:tr w:rsidR="005B2A11" w:rsidRPr="005B2A11" w:rsidTr="005B2A11">
        <w:trPr>
          <w:trHeight w:val="300"/>
        </w:trPr>
        <w:tc>
          <w:tcPr>
            <w:tcW w:w="10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Diğer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3.617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 xml:space="preserve">       4.470   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24%</w:t>
            </w:r>
          </w:p>
        </w:tc>
      </w:tr>
      <w:tr w:rsidR="005B2A11" w:rsidRPr="005B2A11" w:rsidTr="005B2A11">
        <w:trPr>
          <w:trHeight w:val="300"/>
        </w:trPr>
        <w:tc>
          <w:tcPr>
            <w:tcW w:w="2640" w:type="dxa"/>
            <w:gridSpan w:val="2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Toplam Birinci El</w:t>
            </w:r>
          </w:p>
        </w:tc>
        <w:tc>
          <w:tcPr>
            <w:tcW w:w="142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b/>
                <w:bCs/>
                <w:color w:val="000000"/>
                <w:lang w:eastAsia="tr-TR"/>
              </w:rPr>
            </w:pPr>
            <w:r w:rsidRPr="005B2A1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tr-TR"/>
              </w:rPr>
              <w:t>6.737</w:t>
            </w:r>
          </w:p>
        </w:tc>
        <w:tc>
          <w:tcPr>
            <w:tcW w:w="106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b/>
                <w:bCs/>
                <w:color w:val="000000"/>
                <w:lang w:eastAsia="tr-TR"/>
              </w:rPr>
            </w:pPr>
            <w:r w:rsidRPr="005B2A1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tr-TR"/>
              </w:rPr>
              <w:t>7.869</w:t>
            </w:r>
          </w:p>
        </w:tc>
        <w:tc>
          <w:tcPr>
            <w:tcW w:w="142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17%</w:t>
            </w:r>
          </w:p>
        </w:tc>
      </w:tr>
      <w:tr w:rsidR="005B2A11" w:rsidRPr="005B2A11" w:rsidTr="005B2A11">
        <w:trPr>
          <w:trHeight w:val="30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İkinci El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İpotekli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3.148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 xml:space="preserve">       3.939   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25%</w:t>
            </w:r>
          </w:p>
        </w:tc>
      </w:tr>
      <w:tr w:rsidR="005B2A11" w:rsidRPr="005B2A11" w:rsidTr="005B2A11">
        <w:trPr>
          <w:trHeight w:val="300"/>
        </w:trPr>
        <w:tc>
          <w:tcPr>
            <w:tcW w:w="10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Diğer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4.981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 xml:space="preserve">       5.432   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9%</w:t>
            </w:r>
          </w:p>
        </w:tc>
      </w:tr>
      <w:tr w:rsidR="005B2A11" w:rsidRPr="005B2A11" w:rsidTr="005B2A11">
        <w:trPr>
          <w:trHeight w:val="300"/>
        </w:trPr>
        <w:tc>
          <w:tcPr>
            <w:tcW w:w="2640" w:type="dxa"/>
            <w:gridSpan w:val="2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Toplam İkinci El</w:t>
            </w:r>
          </w:p>
        </w:tc>
        <w:tc>
          <w:tcPr>
            <w:tcW w:w="142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b/>
                <w:bCs/>
                <w:color w:val="000000"/>
                <w:lang w:eastAsia="tr-TR"/>
              </w:rPr>
            </w:pPr>
            <w:r w:rsidRPr="005B2A1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tr-TR"/>
              </w:rPr>
              <w:t>8.129</w:t>
            </w:r>
          </w:p>
        </w:tc>
        <w:tc>
          <w:tcPr>
            <w:tcW w:w="106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b/>
                <w:bCs/>
                <w:color w:val="000000"/>
                <w:lang w:eastAsia="tr-TR"/>
              </w:rPr>
            </w:pPr>
            <w:r w:rsidRPr="005B2A1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tr-TR"/>
              </w:rPr>
              <w:t>9.371</w:t>
            </w:r>
          </w:p>
        </w:tc>
        <w:tc>
          <w:tcPr>
            <w:tcW w:w="1420" w:type="dxa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15%</w:t>
            </w:r>
          </w:p>
        </w:tc>
      </w:tr>
      <w:tr w:rsidR="005B2A11" w:rsidRPr="005B2A11" w:rsidTr="005B2A11">
        <w:trPr>
          <w:trHeight w:val="300"/>
        </w:trPr>
        <w:tc>
          <w:tcPr>
            <w:tcW w:w="2640" w:type="dxa"/>
            <w:gridSpan w:val="2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Genel Toplam</w:t>
            </w:r>
          </w:p>
        </w:tc>
        <w:tc>
          <w:tcPr>
            <w:tcW w:w="142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b/>
                <w:bCs/>
                <w:color w:val="000000"/>
                <w:lang w:eastAsia="tr-TR"/>
              </w:rPr>
            </w:pPr>
            <w:r w:rsidRPr="005B2A1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tr-TR"/>
              </w:rPr>
              <w:t>14.866</w:t>
            </w:r>
          </w:p>
        </w:tc>
        <w:tc>
          <w:tcPr>
            <w:tcW w:w="106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Calibri" w:hAnsi="Calibri"/>
                <w:b/>
                <w:bCs/>
                <w:color w:val="000000"/>
                <w:lang w:eastAsia="tr-TR"/>
              </w:rPr>
            </w:pPr>
            <w:r w:rsidRPr="005B2A1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tr-TR"/>
              </w:rPr>
              <w:t>17.240</w:t>
            </w:r>
          </w:p>
        </w:tc>
        <w:tc>
          <w:tcPr>
            <w:tcW w:w="142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16%</w:t>
            </w:r>
          </w:p>
        </w:tc>
      </w:tr>
      <w:tr w:rsidR="005B2A11" w:rsidRPr="005B2A11" w:rsidTr="005B2A11">
        <w:trPr>
          <w:trHeight w:val="30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</w:tr>
      <w:tr w:rsidR="005B2A11" w:rsidRPr="005B2A11" w:rsidTr="005B2A11">
        <w:trPr>
          <w:trHeight w:val="300"/>
        </w:trPr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Birinci Elin Payı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45%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46%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</w:tr>
      <w:tr w:rsidR="005B2A11" w:rsidRPr="005B2A11" w:rsidTr="005B2A11">
        <w:trPr>
          <w:trHeight w:val="300"/>
        </w:trPr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  <w:r w:rsidRPr="005B2A11">
              <w:rPr>
                <w:rFonts w:ascii="Calibri" w:hAnsi="Calibri"/>
                <w:color w:val="000000"/>
                <w:sz w:val="22"/>
                <w:szCs w:val="22"/>
                <w:lang w:eastAsia="tr-TR"/>
              </w:rPr>
              <w:t>İpotekli Satışların Payı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42%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2A11" w:rsidRPr="005B2A11" w:rsidRDefault="005B2A11" w:rsidP="005B2A1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B2A11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43%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A11" w:rsidRPr="005B2A11" w:rsidRDefault="005B2A11" w:rsidP="005B2A11">
            <w:pPr>
              <w:rPr>
                <w:rFonts w:ascii="Calibri" w:hAnsi="Calibri"/>
                <w:color w:val="000000"/>
                <w:lang w:eastAsia="tr-TR"/>
              </w:rPr>
            </w:pPr>
          </w:p>
        </w:tc>
      </w:tr>
    </w:tbl>
    <w:p w:rsidR="00C15661" w:rsidRDefault="00C15661" w:rsidP="00706597">
      <w:pPr>
        <w:contextualSpacing/>
        <w:jc w:val="both"/>
        <w:rPr>
          <w:rFonts w:asciiTheme="majorHAnsi" w:hAnsiTheme="majorHAnsi"/>
        </w:rPr>
      </w:pPr>
    </w:p>
    <w:p w:rsidR="005B2A11" w:rsidRDefault="005B2A11" w:rsidP="00706597">
      <w:pPr>
        <w:contextualSpacing/>
        <w:jc w:val="both"/>
        <w:rPr>
          <w:rFonts w:asciiTheme="majorHAnsi" w:hAnsiTheme="majorHAnsi"/>
        </w:rPr>
      </w:pPr>
    </w:p>
    <w:p w:rsidR="00706597" w:rsidRDefault="00706597" w:rsidP="00706597">
      <w:pPr>
        <w:contextualSpacing/>
        <w:jc w:val="both"/>
        <w:rPr>
          <w:rFonts w:asciiTheme="majorHAnsi" w:hAnsiTheme="majorHAnsi"/>
        </w:rPr>
      </w:pPr>
    </w:p>
    <w:p w:rsidR="00706597" w:rsidRDefault="00706597" w:rsidP="00706597">
      <w:pPr>
        <w:contextualSpacing/>
        <w:jc w:val="both"/>
        <w:rPr>
          <w:rFonts w:asciiTheme="majorHAnsi" w:hAnsiTheme="majorHAnsi"/>
        </w:rPr>
      </w:pPr>
      <w:r w:rsidRPr="005F6A0E">
        <w:rPr>
          <w:rFonts w:asciiTheme="majorHAnsi" w:hAnsiTheme="majorHAnsi"/>
        </w:rPr>
        <w:t xml:space="preserve">Konut satışları </w:t>
      </w:r>
      <w:r>
        <w:rPr>
          <w:rFonts w:asciiTheme="majorHAnsi" w:hAnsiTheme="majorHAnsi"/>
        </w:rPr>
        <w:t xml:space="preserve">rakamları genel olarak incelendiğinde geçen senenin </w:t>
      </w:r>
      <w:r w:rsidR="005B2A11">
        <w:rPr>
          <w:rFonts w:asciiTheme="majorHAnsi" w:hAnsiTheme="majorHAnsi"/>
        </w:rPr>
        <w:t>Ekim</w:t>
      </w:r>
      <w:r>
        <w:rPr>
          <w:rFonts w:asciiTheme="majorHAnsi" w:hAnsiTheme="majorHAnsi"/>
        </w:rPr>
        <w:t xml:space="preserve"> ayı ile kıya</w:t>
      </w:r>
      <w:r w:rsidR="00197E85">
        <w:rPr>
          <w:rFonts w:asciiTheme="majorHAnsi" w:hAnsiTheme="majorHAnsi"/>
        </w:rPr>
        <w:t>slandığında Türkiye genelinde (</w:t>
      </w:r>
      <w:r>
        <w:rPr>
          <w:rFonts w:asciiTheme="majorHAnsi" w:hAnsiTheme="majorHAnsi"/>
        </w:rPr>
        <w:t>%</w:t>
      </w:r>
      <w:r w:rsidR="005B2A11">
        <w:rPr>
          <w:rFonts w:asciiTheme="majorHAnsi" w:hAnsiTheme="majorHAnsi"/>
        </w:rPr>
        <w:t>25</w:t>
      </w:r>
      <w:r w:rsidR="00197E85">
        <w:rPr>
          <w:rFonts w:asciiTheme="majorHAnsi" w:hAnsiTheme="majorHAnsi"/>
        </w:rPr>
        <w:t>) ve İstanbul ilinde (</w:t>
      </w:r>
      <w:r>
        <w:rPr>
          <w:rFonts w:asciiTheme="majorHAnsi" w:hAnsiTheme="majorHAnsi"/>
        </w:rPr>
        <w:t>%</w:t>
      </w:r>
      <w:r w:rsidR="005B2A11">
        <w:rPr>
          <w:rFonts w:asciiTheme="majorHAnsi" w:hAnsiTheme="majorHAnsi"/>
        </w:rPr>
        <w:t>16</w:t>
      </w:r>
      <w:r>
        <w:rPr>
          <w:rFonts w:asciiTheme="majorHAnsi" w:hAnsiTheme="majorHAnsi"/>
        </w:rPr>
        <w:t xml:space="preserve">) satışların </w:t>
      </w:r>
      <w:r w:rsidR="00197E85">
        <w:rPr>
          <w:rFonts w:asciiTheme="majorHAnsi" w:hAnsiTheme="majorHAnsi"/>
        </w:rPr>
        <w:t>artmış</w:t>
      </w:r>
      <w:r>
        <w:rPr>
          <w:rFonts w:asciiTheme="majorHAnsi" w:hAnsiTheme="majorHAnsi"/>
        </w:rPr>
        <w:t xml:space="preserve"> olduğu görülmektedir.</w:t>
      </w:r>
    </w:p>
    <w:p w:rsidR="00336E03" w:rsidRDefault="00336E03" w:rsidP="00706597">
      <w:pPr>
        <w:contextualSpacing/>
        <w:jc w:val="both"/>
        <w:rPr>
          <w:rFonts w:asciiTheme="majorHAnsi" w:hAnsiTheme="majorHAnsi"/>
        </w:rPr>
      </w:pPr>
    </w:p>
    <w:p w:rsidR="00336E03" w:rsidRDefault="00336E03" w:rsidP="00706597">
      <w:pPr>
        <w:contextualSpacing/>
        <w:jc w:val="both"/>
        <w:rPr>
          <w:rFonts w:asciiTheme="majorHAnsi" w:hAnsiTheme="majorHAnsi"/>
        </w:rPr>
      </w:pPr>
    </w:p>
    <w:p w:rsidR="00197E85" w:rsidRDefault="00197E85" w:rsidP="00706597">
      <w:pPr>
        <w:contextualSpacing/>
        <w:jc w:val="both"/>
        <w:rPr>
          <w:rFonts w:asciiTheme="majorHAnsi" w:hAnsiTheme="majorHAnsi"/>
        </w:rPr>
      </w:pPr>
    </w:p>
    <w:p w:rsidR="00197E85" w:rsidRDefault="00197E85" w:rsidP="00706597">
      <w:pPr>
        <w:contextualSpacing/>
        <w:jc w:val="both"/>
        <w:rPr>
          <w:rFonts w:asciiTheme="majorHAnsi" w:hAnsiTheme="majorHAnsi"/>
        </w:rPr>
      </w:pPr>
    </w:p>
    <w:p w:rsidR="00197E85" w:rsidRDefault="00197E85" w:rsidP="00706597">
      <w:pPr>
        <w:contextualSpacing/>
        <w:jc w:val="both"/>
        <w:rPr>
          <w:rFonts w:asciiTheme="majorHAnsi" w:hAnsiTheme="majorHAnsi"/>
        </w:rPr>
      </w:pPr>
    </w:p>
    <w:p w:rsidR="00706597" w:rsidRDefault="00706597" w:rsidP="00706597">
      <w:pPr>
        <w:contextualSpacing/>
        <w:jc w:val="both"/>
        <w:rPr>
          <w:rFonts w:asciiTheme="majorHAnsi" w:hAnsiTheme="majorHAnsi"/>
        </w:rPr>
      </w:pPr>
    </w:p>
    <w:p w:rsidR="00706597" w:rsidRPr="00B15D9E" w:rsidRDefault="00706597" w:rsidP="00706597">
      <w:pPr>
        <w:contextualSpacing/>
        <w:jc w:val="both"/>
        <w:rPr>
          <w:rFonts w:asciiTheme="majorHAnsi" w:hAnsiTheme="majorHAnsi"/>
          <w:b/>
        </w:rPr>
      </w:pPr>
      <w:r w:rsidRPr="00B15D9E">
        <w:rPr>
          <w:rFonts w:asciiTheme="majorHAnsi" w:hAnsiTheme="majorHAnsi"/>
          <w:b/>
        </w:rPr>
        <w:t xml:space="preserve">Konut satışları </w:t>
      </w:r>
      <w:r w:rsidR="00F4674A">
        <w:rPr>
          <w:rFonts w:asciiTheme="majorHAnsi" w:hAnsiTheme="majorHAnsi"/>
          <w:b/>
        </w:rPr>
        <w:t xml:space="preserve">Ağustos, </w:t>
      </w:r>
      <w:r w:rsidR="00C15661">
        <w:rPr>
          <w:rFonts w:asciiTheme="majorHAnsi" w:hAnsiTheme="majorHAnsi"/>
          <w:b/>
        </w:rPr>
        <w:t xml:space="preserve">Eylül </w:t>
      </w:r>
      <w:r w:rsidR="00F4674A">
        <w:rPr>
          <w:rFonts w:asciiTheme="majorHAnsi" w:hAnsiTheme="majorHAnsi"/>
          <w:b/>
        </w:rPr>
        <w:t xml:space="preserve">ve Ekim </w:t>
      </w:r>
      <w:r w:rsidR="00C15661">
        <w:rPr>
          <w:rFonts w:asciiTheme="majorHAnsi" w:hAnsiTheme="majorHAnsi"/>
          <w:b/>
        </w:rPr>
        <w:t xml:space="preserve">aylarında aylık </w:t>
      </w:r>
      <w:proofErr w:type="gramStart"/>
      <w:r w:rsidR="00C15661">
        <w:rPr>
          <w:rFonts w:asciiTheme="majorHAnsi" w:hAnsiTheme="majorHAnsi"/>
          <w:b/>
        </w:rPr>
        <w:t>bazda</w:t>
      </w:r>
      <w:proofErr w:type="gramEnd"/>
      <w:r w:rsidR="00C15661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geçen yılın </w:t>
      </w:r>
      <w:r w:rsidR="00197E85">
        <w:rPr>
          <w:rFonts w:asciiTheme="majorHAnsi" w:hAnsiTheme="majorHAnsi"/>
          <w:b/>
        </w:rPr>
        <w:t>üzerine çıkmıştır</w:t>
      </w:r>
    </w:p>
    <w:p w:rsidR="00706597" w:rsidRDefault="00706597" w:rsidP="00706597">
      <w:pPr>
        <w:contextualSpacing/>
        <w:jc w:val="both"/>
        <w:rPr>
          <w:rFonts w:asciiTheme="majorHAnsi" w:hAnsiTheme="majorHAnsi"/>
        </w:rPr>
      </w:pPr>
    </w:p>
    <w:p w:rsidR="00706597" w:rsidRDefault="00706597" w:rsidP="00706597">
      <w:pPr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Yılın ilk </w:t>
      </w:r>
      <w:r w:rsidR="00F4674A">
        <w:rPr>
          <w:rFonts w:asciiTheme="majorHAnsi" w:hAnsiTheme="majorHAnsi"/>
        </w:rPr>
        <w:t>on</w:t>
      </w:r>
      <w:r>
        <w:rPr>
          <w:rFonts w:asciiTheme="majorHAnsi" w:hAnsiTheme="majorHAnsi"/>
        </w:rPr>
        <w:t xml:space="preserve"> ayında</w:t>
      </w:r>
      <w:r w:rsidRPr="00CD0BD3">
        <w:rPr>
          <w:rFonts w:asciiTheme="majorHAnsi" w:hAnsiTheme="majorHAnsi"/>
        </w:rPr>
        <w:t xml:space="preserve"> gerçekleşen satış rakamlarını bir önceki yıl</w:t>
      </w:r>
      <w:r>
        <w:rPr>
          <w:rFonts w:asciiTheme="majorHAnsi" w:hAnsiTheme="majorHAnsi"/>
        </w:rPr>
        <w:t>ın</w:t>
      </w:r>
      <w:r w:rsidRPr="00CD0BD3">
        <w:rPr>
          <w:rFonts w:asciiTheme="majorHAnsi" w:hAnsiTheme="majorHAnsi"/>
        </w:rPr>
        <w:t xml:space="preserve"> aynı aylar</w:t>
      </w:r>
      <w:r>
        <w:rPr>
          <w:rFonts w:asciiTheme="majorHAnsi" w:hAnsiTheme="majorHAnsi"/>
        </w:rPr>
        <w:t>ı ile</w:t>
      </w:r>
      <w:r w:rsidRPr="00CD0BD3">
        <w:rPr>
          <w:rFonts w:asciiTheme="majorHAnsi" w:hAnsiTheme="majorHAnsi"/>
        </w:rPr>
        <w:t xml:space="preserve"> karşılaşt</w:t>
      </w:r>
      <w:r>
        <w:rPr>
          <w:rFonts w:asciiTheme="majorHAnsi" w:hAnsiTheme="majorHAnsi"/>
        </w:rPr>
        <w:t xml:space="preserve">ırdığımızda, </w:t>
      </w:r>
      <w:r w:rsidR="00F4674A">
        <w:rPr>
          <w:rFonts w:asciiTheme="majorHAnsi" w:hAnsiTheme="majorHAnsi"/>
        </w:rPr>
        <w:t xml:space="preserve">Ekim </w:t>
      </w:r>
      <w:r w:rsidR="00197E85">
        <w:rPr>
          <w:rFonts w:asciiTheme="majorHAnsi" w:hAnsiTheme="majorHAnsi"/>
        </w:rPr>
        <w:t>ayında geçen yılın %</w:t>
      </w:r>
      <w:r w:rsidR="00F4674A">
        <w:rPr>
          <w:rFonts w:asciiTheme="majorHAnsi" w:hAnsiTheme="majorHAnsi"/>
        </w:rPr>
        <w:t>25,3</w:t>
      </w:r>
      <w:r>
        <w:rPr>
          <w:rFonts w:asciiTheme="majorHAnsi" w:hAnsiTheme="majorHAnsi"/>
        </w:rPr>
        <w:t xml:space="preserve"> </w:t>
      </w:r>
      <w:r w:rsidR="00197E85">
        <w:rPr>
          <w:rFonts w:asciiTheme="majorHAnsi" w:hAnsiTheme="majorHAnsi"/>
        </w:rPr>
        <w:t>üzerinde</w:t>
      </w:r>
      <w:r>
        <w:rPr>
          <w:rFonts w:asciiTheme="majorHAnsi" w:hAnsiTheme="majorHAnsi"/>
        </w:rPr>
        <w:t xml:space="preserve"> bir satış rakamı oluşmuştur.</w:t>
      </w:r>
    </w:p>
    <w:p w:rsidR="00F4674A" w:rsidRDefault="00F4674A" w:rsidP="00706597">
      <w:pPr>
        <w:contextualSpacing/>
        <w:jc w:val="both"/>
        <w:rPr>
          <w:rFonts w:asciiTheme="majorHAnsi" w:hAnsiTheme="majorHAnsi"/>
        </w:rPr>
      </w:pPr>
    </w:p>
    <w:tbl>
      <w:tblPr>
        <w:tblW w:w="57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276"/>
        <w:gridCol w:w="976"/>
        <w:gridCol w:w="976"/>
        <w:gridCol w:w="1276"/>
        <w:gridCol w:w="1276"/>
      </w:tblGrid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TÜRKİYE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Tüm Satışlar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2013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Fark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Fark %</w:t>
            </w: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Ocak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87.444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87.639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0,2%</w:t>
            </w: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Şubat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88.519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82.597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-5.922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-6,7%</w:t>
            </w: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Mart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97.956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87.617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-10.339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-10,6%</w:t>
            </w: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Nisan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95.381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83.610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-11.771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-12,3%</w:t>
            </w: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Mayıs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103.261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90.377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-12.884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-12,5%</w:t>
            </w: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Haziran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96.424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92.936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-3.488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-3,6%</w:t>
            </w: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Temmuz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106.636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85.101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-21.535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-20,2%</w:t>
            </w: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Ağustos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84.480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105.624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21.144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25,0%</w:t>
            </w: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Eylül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102.280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115.786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13.506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13,2%</w:t>
            </w: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Ekim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76.344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95.645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19.301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25,3%</w:t>
            </w:r>
          </w:p>
        </w:tc>
      </w:tr>
      <w:tr w:rsidR="00F4674A" w:rsidRPr="00F4674A" w:rsidTr="00F4674A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Toplam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938.725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926.932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-11.793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74A" w:rsidRPr="00F4674A" w:rsidRDefault="00F4674A" w:rsidP="00F4674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F4674A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-1,3%</w:t>
            </w:r>
          </w:p>
        </w:tc>
      </w:tr>
    </w:tbl>
    <w:p w:rsidR="00F4674A" w:rsidRDefault="00F4674A" w:rsidP="00706597">
      <w:pPr>
        <w:contextualSpacing/>
        <w:jc w:val="both"/>
        <w:rPr>
          <w:rFonts w:asciiTheme="majorHAnsi" w:hAnsiTheme="majorHAnsi"/>
        </w:rPr>
      </w:pPr>
    </w:p>
    <w:p w:rsidR="00C15661" w:rsidRDefault="00F4674A" w:rsidP="00706597">
      <w:pPr>
        <w:contextualSpacing/>
        <w:jc w:val="both"/>
        <w:rPr>
          <w:rFonts w:asciiTheme="majorHAnsi" w:hAnsiTheme="majorHAnsi"/>
        </w:rPr>
      </w:pPr>
      <w:r>
        <w:rPr>
          <w:noProof/>
          <w:lang w:eastAsia="tr-TR"/>
        </w:rPr>
        <w:drawing>
          <wp:inline distT="0" distB="0" distL="0" distR="0">
            <wp:extent cx="5010150" cy="1866900"/>
            <wp:effectExtent l="0" t="0" r="19050" b="19050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4674A" w:rsidRDefault="00F4674A" w:rsidP="00706597">
      <w:pPr>
        <w:contextualSpacing/>
        <w:jc w:val="both"/>
        <w:rPr>
          <w:rFonts w:asciiTheme="majorHAnsi" w:hAnsiTheme="majorHAnsi"/>
        </w:rPr>
      </w:pPr>
    </w:p>
    <w:p w:rsidR="00C15661" w:rsidRDefault="00C15661" w:rsidP="00706597">
      <w:pPr>
        <w:contextualSpacing/>
        <w:jc w:val="both"/>
        <w:rPr>
          <w:rFonts w:asciiTheme="majorHAnsi" w:hAnsiTheme="majorHAnsi"/>
        </w:rPr>
      </w:pPr>
    </w:p>
    <w:p w:rsidR="00C15661" w:rsidRDefault="00F4674A" w:rsidP="00706597">
      <w:pPr>
        <w:contextualSpacing/>
        <w:jc w:val="both"/>
        <w:rPr>
          <w:rFonts w:asciiTheme="majorHAnsi" w:hAnsiTheme="majorHAnsi"/>
        </w:rPr>
      </w:pPr>
      <w:r>
        <w:rPr>
          <w:noProof/>
          <w:lang w:eastAsia="tr-TR"/>
        </w:rPr>
        <w:drawing>
          <wp:inline distT="0" distB="0" distL="0" distR="0">
            <wp:extent cx="5010150" cy="2114550"/>
            <wp:effectExtent l="0" t="0" r="19050" b="19050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51CCA" w:rsidRDefault="00E51CCA" w:rsidP="00706597">
      <w:pPr>
        <w:contextualSpacing/>
        <w:jc w:val="both"/>
        <w:rPr>
          <w:rFonts w:asciiTheme="majorHAnsi" w:hAnsiTheme="majorHAnsi"/>
        </w:rPr>
      </w:pPr>
    </w:p>
    <w:p w:rsidR="00706597" w:rsidRDefault="00706597" w:rsidP="00706597">
      <w:pPr>
        <w:contextualSpacing/>
        <w:rPr>
          <w:rFonts w:asciiTheme="majorHAnsi" w:hAnsiTheme="majorHAnsi"/>
          <w:b/>
        </w:rPr>
      </w:pPr>
    </w:p>
    <w:p w:rsidR="005E619B" w:rsidRDefault="005E619B" w:rsidP="00706597">
      <w:pPr>
        <w:contextualSpacing/>
        <w:rPr>
          <w:rFonts w:asciiTheme="majorHAnsi" w:hAnsiTheme="majorHAnsi"/>
          <w:b/>
        </w:rPr>
      </w:pPr>
    </w:p>
    <w:p w:rsidR="00706597" w:rsidRDefault="00706597" w:rsidP="00706597">
      <w:pPr>
        <w:contextualSpacing/>
        <w:rPr>
          <w:rFonts w:asciiTheme="majorHAnsi" w:hAnsiTheme="majorHAnsi"/>
          <w:b/>
        </w:rPr>
      </w:pPr>
    </w:p>
    <w:p w:rsidR="00706597" w:rsidRDefault="00706597" w:rsidP="00706597">
      <w:pPr>
        <w:contextualSpacing/>
        <w:rPr>
          <w:rFonts w:asciiTheme="majorHAnsi" w:hAnsiTheme="majorHAnsi"/>
          <w:b/>
        </w:rPr>
      </w:pPr>
    </w:p>
    <w:p w:rsidR="00706597" w:rsidRDefault="00706597" w:rsidP="00706597">
      <w:pPr>
        <w:contextualSpacing/>
        <w:rPr>
          <w:rFonts w:asciiTheme="majorHAnsi" w:hAnsiTheme="majorHAnsi"/>
          <w:b/>
        </w:rPr>
      </w:pPr>
    </w:p>
    <w:tbl>
      <w:tblPr>
        <w:tblW w:w="59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276"/>
        <w:gridCol w:w="1076"/>
        <w:gridCol w:w="1076"/>
        <w:gridCol w:w="1276"/>
        <w:gridCol w:w="1276"/>
      </w:tblGrid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İSTANBUL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Tüm Satışlar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Fark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tr-TR"/>
              </w:rPr>
              <w:t>Fark %</w:t>
            </w: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Ocak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18.235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17.489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-746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-4,1%</w:t>
            </w: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Şubat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18.971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17.121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-1.850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-9,8%</w:t>
            </w: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Mart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21.570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17.718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-3.852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-17,9%</w:t>
            </w: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Nisan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20.791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17.130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-3.661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-17,6%</w:t>
            </w: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Mayıs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22.030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17.852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-4.178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-19,0%</w:t>
            </w: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Haziran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19.357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19.252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-0,5%</w:t>
            </w: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Temmuz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20.668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17.116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-3.552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-17,2%</w:t>
            </w: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Ağustos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14.930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17.349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2.419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16,2%</w:t>
            </w: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Eylül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18.514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20.923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2.409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13,0%</w:t>
            </w: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Ekim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14.866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17.240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2.374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16,0%</w:t>
            </w:r>
          </w:p>
        </w:tc>
      </w:tr>
      <w:tr w:rsidR="005E619B" w:rsidRPr="005E619B" w:rsidTr="005E619B">
        <w:trPr>
          <w:trHeight w:val="22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Toplam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189.932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179.190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-10.742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19B" w:rsidRPr="005E619B" w:rsidRDefault="005E619B" w:rsidP="005E619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 w:rsidRPr="005E619B"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  <w:t>-5,7%</w:t>
            </w:r>
          </w:p>
        </w:tc>
      </w:tr>
    </w:tbl>
    <w:p w:rsidR="00706597" w:rsidRDefault="00706597" w:rsidP="00706597">
      <w:pPr>
        <w:contextualSpacing/>
        <w:rPr>
          <w:rFonts w:asciiTheme="majorHAnsi" w:hAnsiTheme="majorHAnsi"/>
          <w:b/>
        </w:rPr>
      </w:pPr>
    </w:p>
    <w:p w:rsidR="005E619B" w:rsidRDefault="005E619B" w:rsidP="00706597">
      <w:pPr>
        <w:contextualSpacing/>
        <w:rPr>
          <w:rFonts w:asciiTheme="majorHAnsi" w:hAnsiTheme="majorHAnsi"/>
          <w:b/>
        </w:rPr>
      </w:pPr>
    </w:p>
    <w:p w:rsidR="00706597" w:rsidRDefault="005E619B" w:rsidP="00706597">
      <w:pPr>
        <w:contextualSpacing/>
        <w:rPr>
          <w:rFonts w:asciiTheme="majorHAnsi" w:hAnsiTheme="majorHAnsi"/>
          <w:b/>
        </w:rPr>
      </w:pPr>
      <w:r>
        <w:rPr>
          <w:noProof/>
          <w:lang w:eastAsia="tr-TR"/>
        </w:rPr>
        <w:drawing>
          <wp:inline distT="0" distB="0" distL="0" distR="0">
            <wp:extent cx="4933950" cy="1876425"/>
            <wp:effectExtent l="0" t="0" r="19050" b="95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E619B" w:rsidRDefault="005E619B" w:rsidP="00706597">
      <w:pPr>
        <w:contextualSpacing/>
        <w:rPr>
          <w:rFonts w:asciiTheme="majorHAnsi" w:hAnsiTheme="majorHAnsi"/>
          <w:b/>
        </w:rPr>
      </w:pPr>
    </w:p>
    <w:p w:rsidR="00336E03" w:rsidRDefault="00336E03" w:rsidP="00706597">
      <w:pPr>
        <w:contextualSpacing/>
        <w:rPr>
          <w:rFonts w:asciiTheme="majorHAnsi" w:hAnsiTheme="majorHAnsi"/>
          <w:b/>
        </w:rPr>
      </w:pPr>
    </w:p>
    <w:p w:rsidR="00336E03" w:rsidRDefault="005E619B" w:rsidP="00706597">
      <w:pPr>
        <w:contextualSpacing/>
        <w:rPr>
          <w:rFonts w:asciiTheme="majorHAnsi" w:hAnsiTheme="majorHAnsi"/>
          <w:b/>
        </w:rPr>
      </w:pPr>
      <w:r>
        <w:rPr>
          <w:noProof/>
          <w:lang w:eastAsia="tr-TR"/>
        </w:rPr>
        <w:drawing>
          <wp:inline distT="0" distB="0" distL="0" distR="0">
            <wp:extent cx="4933950" cy="1876425"/>
            <wp:effectExtent l="0" t="0" r="19050" b="9525"/>
            <wp:docPr id="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15661" w:rsidRDefault="00C15661" w:rsidP="00706597">
      <w:pPr>
        <w:contextualSpacing/>
        <w:rPr>
          <w:rFonts w:asciiTheme="majorHAnsi" w:hAnsiTheme="majorHAnsi"/>
          <w:b/>
        </w:rPr>
      </w:pPr>
    </w:p>
    <w:p w:rsidR="00A06326" w:rsidRDefault="00A06326" w:rsidP="00706597">
      <w:pPr>
        <w:contextualSpacing/>
        <w:rPr>
          <w:rFonts w:asciiTheme="majorHAnsi" w:hAnsiTheme="majorHAnsi"/>
          <w:b/>
        </w:rPr>
      </w:pPr>
    </w:p>
    <w:p w:rsidR="00706597" w:rsidRDefault="00706597" w:rsidP="00706597">
      <w:pPr>
        <w:contextualSpacing/>
        <w:rPr>
          <w:noProof/>
          <w:lang w:eastAsia="tr-TR"/>
        </w:rPr>
      </w:pPr>
    </w:p>
    <w:p w:rsidR="00A06326" w:rsidRDefault="00A06326" w:rsidP="00706597">
      <w:pPr>
        <w:contextualSpacing/>
        <w:rPr>
          <w:rFonts w:asciiTheme="majorHAnsi" w:hAnsiTheme="majorHAnsi"/>
          <w:b/>
        </w:rPr>
      </w:pPr>
    </w:p>
    <w:p w:rsidR="00706597" w:rsidRDefault="00706597" w:rsidP="00706597">
      <w:pPr>
        <w:contextualSpacing/>
        <w:rPr>
          <w:rFonts w:asciiTheme="majorHAnsi" w:hAnsiTheme="majorHAnsi"/>
          <w:b/>
        </w:rPr>
      </w:pPr>
    </w:p>
    <w:p w:rsidR="00706597" w:rsidRDefault="00706597" w:rsidP="00706597">
      <w:pPr>
        <w:contextualSpacing/>
        <w:rPr>
          <w:rFonts w:asciiTheme="majorHAnsi" w:hAnsiTheme="majorHAnsi"/>
          <w:b/>
        </w:rPr>
      </w:pPr>
    </w:p>
    <w:p w:rsidR="00706597" w:rsidRDefault="00706597" w:rsidP="00706597">
      <w:pPr>
        <w:contextualSpacing/>
        <w:rPr>
          <w:rFonts w:asciiTheme="majorHAnsi" w:hAnsiTheme="majorHAnsi"/>
          <w:b/>
        </w:rPr>
      </w:pPr>
    </w:p>
    <w:p w:rsidR="009D1B4A" w:rsidRDefault="009D1B4A" w:rsidP="009D1B4A"/>
    <w:p w:rsidR="009D1B4A" w:rsidRDefault="009D1B4A" w:rsidP="009D1B4A"/>
    <w:p w:rsidR="002D0408" w:rsidRDefault="002D0408" w:rsidP="009D1B4A"/>
    <w:p w:rsidR="002D0408" w:rsidRDefault="002D0408" w:rsidP="009D1B4A"/>
    <w:p w:rsidR="002D0408" w:rsidRDefault="002D0408" w:rsidP="009D1B4A"/>
    <w:p w:rsidR="002D0408" w:rsidRDefault="002D0408" w:rsidP="009D1B4A"/>
    <w:p w:rsidR="002D0408" w:rsidRDefault="002D0408" w:rsidP="009D1B4A"/>
    <w:p w:rsidR="002D0408" w:rsidRDefault="002D0408" w:rsidP="009D1B4A"/>
    <w:p w:rsidR="001048FC" w:rsidRDefault="001048FC" w:rsidP="009D1B4A"/>
    <w:p w:rsidR="002D0408" w:rsidRDefault="002D0408" w:rsidP="009D1B4A"/>
    <w:p w:rsidR="002D0408" w:rsidRPr="007C138C" w:rsidRDefault="002D0408" w:rsidP="002D0408">
      <w:pPr>
        <w:spacing w:after="200" w:line="276" w:lineRule="auto"/>
        <w:rPr>
          <w:rFonts w:asciiTheme="majorHAnsi" w:hAnsiTheme="majorHAnsi"/>
          <w:b/>
        </w:rPr>
      </w:pPr>
      <w:r w:rsidRPr="007C138C">
        <w:rPr>
          <w:rFonts w:asciiTheme="majorHAnsi" w:hAnsiTheme="majorHAnsi"/>
          <w:b/>
        </w:rPr>
        <w:t>İpotekli Satışlar</w:t>
      </w:r>
      <w:r>
        <w:rPr>
          <w:rFonts w:asciiTheme="majorHAnsi" w:hAnsiTheme="majorHAnsi"/>
          <w:b/>
        </w:rPr>
        <w:t>ın Toplamdaki Payı</w:t>
      </w:r>
    </w:p>
    <w:p w:rsidR="002D0408" w:rsidRDefault="002D0408" w:rsidP="002D0408">
      <w:pPr>
        <w:contextualSpacing/>
        <w:jc w:val="both"/>
        <w:rPr>
          <w:rFonts w:asciiTheme="majorHAnsi" w:hAnsiTheme="majorHAnsi"/>
        </w:rPr>
      </w:pPr>
    </w:p>
    <w:p w:rsidR="002D0408" w:rsidRDefault="002D0408" w:rsidP="002D0408">
      <w:pPr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İpotekli satışların tüm satışlar içindeki </w:t>
      </w:r>
      <w:r w:rsidR="00A47270">
        <w:rPr>
          <w:rFonts w:asciiTheme="majorHAnsi" w:hAnsiTheme="majorHAnsi"/>
        </w:rPr>
        <w:t>payı</w:t>
      </w:r>
      <w:r>
        <w:rPr>
          <w:rFonts w:asciiTheme="majorHAnsi" w:hAnsiTheme="majorHAnsi"/>
        </w:rPr>
        <w:t xml:space="preserve">, Türkiye </w:t>
      </w:r>
      <w:r w:rsidR="00A47270">
        <w:rPr>
          <w:rFonts w:asciiTheme="majorHAnsi" w:hAnsiTheme="majorHAnsi"/>
        </w:rPr>
        <w:t>genelinde %36, İstanbul’da %43</w:t>
      </w:r>
      <w:r>
        <w:rPr>
          <w:rFonts w:asciiTheme="majorHAnsi" w:hAnsiTheme="majorHAnsi"/>
        </w:rPr>
        <w:t xml:space="preserve"> olmuştur. </w:t>
      </w:r>
      <w:r w:rsidR="00A06326">
        <w:rPr>
          <w:rFonts w:asciiTheme="majorHAnsi" w:hAnsiTheme="majorHAnsi"/>
        </w:rPr>
        <w:t>B</w:t>
      </w:r>
      <w:r>
        <w:rPr>
          <w:rFonts w:asciiTheme="majorHAnsi" w:hAnsiTheme="majorHAnsi"/>
        </w:rPr>
        <w:t>u ora</w:t>
      </w:r>
      <w:r w:rsidR="00A47270">
        <w:rPr>
          <w:rFonts w:asciiTheme="majorHAnsi" w:hAnsiTheme="majorHAnsi"/>
        </w:rPr>
        <w:t>nlar geçen senenin aynı dönem</w:t>
      </w:r>
      <w:r w:rsidR="00906107">
        <w:rPr>
          <w:rFonts w:asciiTheme="majorHAnsi" w:hAnsiTheme="majorHAnsi"/>
        </w:rPr>
        <w:t>in</w:t>
      </w:r>
      <w:r>
        <w:rPr>
          <w:rFonts w:asciiTheme="majorHAnsi" w:hAnsiTheme="majorHAnsi"/>
        </w:rPr>
        <w:t xml:space="preserve">e </w:t>
      </w:r>
      <w:r w:rsidR="00A47270">
        <w:rPr>
          <w:rFonts w:asciiTheme="majorHAnsi" w:hAnsiTheme="majorHAnsi"/>
        </w:rPr>
        <w:t>yakın seviyededir.</w:t>
      </w:r>
      <w:bookmarkStart w:id="0" w:name="_GoBack"/>
      <w:bookmarkEnd w:id="0"/>
    </w:p>
    <w:p w:rsidR="00A47270" w:rsidRDefault="00A47270" w:rsidP="002D0408">
      <w:pPr>
        <w:contextualSpacing/>
        <w:jc w:val="both"/>
        <w:rPr>
          <w:rFonts w:asciiTheme="majorHAnsi" w:hAnsiTheme="majorHAnsi"/>
        </w:rPr>
      </w:pPr>
    </w:p>
    <w:p w:rsidR="00A47270" w:rsidRDefault="00A47270" w:rsidP="002D0408">
      <w:pPr>
        <w:contextualSpacing/>
        <w:jc w:val="both"/>
        <w:rPr>
          <w:rFonts w:asciiTheme="majorHAnsi" w:hAnsiTheme="majorHAnsi"/>
        </w:rPr>
      </w:pPr>
      <w:r>
        <w:rPr>
          <w:noProof/>
          <w:lang w:eastAsia="tr-TR"/>
        </w:rPr>
        <w:drawing>
          <wp:inline distT="0" distB="0" distL="0" distR="0">
            <wp:extent cx="4505325" cy="2743200"/>
            <wp:effectExtent l="0" t="0" r="9525" b="19050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06326" w:rsidRDefault="00A06326" w:rsidP="002D0408">
      <w:pPr>
        <w:contextualSpacing/>
        <w:jc w:val="both"/>
        <w:rPr>
          <w:rFonts w:asciiTheme="majorHAnsi" w:hAnsiTheme="majorHAnsi"/>
        </w:rPr>
      </w:pPr>
    </w:p>
    <w:p w:rsidR="00A06326" w:rsidRDefault="00A47270" w:rsidP="002D0408">
      <w:pPr>
        <w:contextualSpacing/>
        <w:jc w:val="both"/>
        <w:rPr>
          <w:rFonts w:asciiTheme="majorHAnsi" w:hAnsiTheme="majorHAnsi"/>
        </w:rPr>
      </w:pPr>
      <w:r>
        <w:rPr>
          <w:noProof/>
          <w:lang w:eastAsia="tr-TR"/>
        </w:rPr>
        <w:drawing>
          <wp:inline distT="0" distB="0" distL="0" distR="0">
            <wp:extent cx="4505325" cy="2743200"/>
            <wp:effectExtent l="0" t="0" r="9525" b="19050"/>
            <wp:docPr id="11" name="Grafik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D0408" w:rsidRDefault="002D0408" w:rsidP="009D1B4A"/>
    <w:p w:rsidR="002D0408" w:rsidRDefault="002D0408" w:rsidP="009D1B4A"/>
    <w:p w:rsidR="00BF4ACD" w:rsidRDefault="00BF4ACD" w:rsidP="009D1B4A"/>
    <w:p w:rsidR="00BF4ACD" w:rsidRDefault="00BF4ACD" w:rsidP="009D1B4A"/>
    <w:p w:rsidR="00BF4ACD" w:rsidRDefault="00BF4ACD" w:rsidP="009D1B4A"/>
    <w:p w:rsidR="00BF4ACD" w:rsidRDefault="00BF4ACD" w:rsidP="009D1B4A"/>
    <w:p w:rsidR="00BF4ACD" w:rsidRDefault="00BF4ACD" w:rsidP="009D1B4A"/>
    <w:p w:rsidR="00BF4ACD" w:rsidRDefault="00BF4ACD" w:rsidP="009D1B4A"/>
    <w:p w:rsidR="00BF4ACD" w:rsidRDefault="00BF4ACD" w:rsidP="009D1B4A"/>
    <w:p w:rsidR="00BF4ACD" w:rsidRDefault="00BF4ACD" w:rsidP="009D1B4A"/>
    <w:p w:rsidR="00BF4ACD" w:rsidRDefault="00BF4ACD" w:rsidP="00BF4ACD">
      <w:pPr>
        <w:spacing w:after="200" w:line="276" w:lineRule="auto"/>
        <w:rPr>
          <w:rFonts w:asciiTheme="majorHAnsi" w:hAnsiTheme="majorHAnsi"/>
          <w:b/>
        </w:rPr>
      </w:pPr>
      <w:r w:rsidRPr="007C138C">
        <w:rPr>
          <w:rFonts w:asciiTheme="majorHAnsi" w:hAnsiTheme="majorHAnsi"/>
          <w:b/>
        </w:rPr>
        <w:t>Birinci El Satışlar</w:t>
      </w:r>
    </w:p>
    <w:p w:rsidR="00BF4ACD" w:rsidRPr="007C138C" w:rsidRDefault="00BF4ACD" w:rsidP="00BF4ACD">
      <w:pPr>
        <w:contextualSpacing/>
        <w:rPr>
          <w:rFonts w:asciiTheme="majorHAnsi" w:hAnsiTheme="majorHAnsi"/>
          <w:b/>
        </w:rPr>
      </w:pPr>
    </w:p>
    <w:p w:rsidR="00BF4ACD" w:rsidRDefault="00BF4ACD" w:rsidP="00BF4ACD">
      <w:pPr>
        <w:contextualSpacing/>
        <w:jc w:val="both"/>
        <w:rPr>
          <w:rFonts w:asciiTheme="majorHAnsi" w:hAnsiTheme="majorHAnsi"/>
        </w:rPr>
      </w:pPr>
      <w:r w:rsidRPr="00884EE1">
        <w:rPr>
          <w:rFonts w:asciiTheme="majorHAnsi" w:hAnsiTheme="majorHAnsi"/>
        </w:rPr>
        <w:t xml:space="preserve">Birinci </w:t>
      </w:r>
      <w:r>
        <w:rPr>
          <w:rFonts w:asciiTheme="majorHAnsi" w:hAnsiTheme="majorHAnsi"/>
        </w:rPr>
        <w:t>el satışların toplamdaki pa</w:t>
      </w:r>
      <w:r w:rsidR="00A24994">
        <w:rPr>
          <w:rFonts w:asciiTheme="majorHAnsi" w:hAnsiTheme="majorHAnsi"/>
        </w:rPr>
        <w:t>yı ise Türkiye genelinde (%47</w:t>
      </w:r>
      <w:r>
        <w:rPr>
          <w:rFonts w:asciiTheme="majorHAnsi" w:hAnsiTheme="majorHAnsi"/>
        </w:rPr>
        <w:t>)</w:t>
      </w:r>
      <w:r w:rsidR="00A24994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 xml:space="preserve"> </w:t>
      </w:r>
      <w:r w:rsidR="00A24994">
        <w:rPr>
          <w:rFonts w:asciiTheme="majorHAnsi" w:hAnsiTheme="majorHAnsi"/>
        </w:rPr>
        <w:t>İstanbul’da ise %46</w:t>
      </w:r>
      <w:r>
        <w:rPr>
          <w:rFonts w:asciiTheme="majorHAnsi" w:hAnsiTheme="majorHAnsi"/>
        </w:rPr>
        <w:t xml:space="preserve"> seviyesinde gerçekleşmiştir.</w:t>
      </w:r>
    </w:p>
    <w:p w:rsidR="00A47270" w:rsidRDefault="00A47270" w:rsidP="00BF4ACD">
      <w:pPr>
        <w:contextualSpacing/>
        <w:jc w:val="both"/>
        <w:rPr>
          <w:rFonts w:asciiTheme="majorHAnsi" w:hAnsiTheme="majorHAnsi"/>
        </w:rPr>
      </w:pPr>
    </w:p>
    <w:p w:rsidR="00A47270" w:rsidRDefault="00A47270" w:rsidP="00BF4ACD">
      <w:pPr>
        <w:contextualSpacing/>
        <w:jc w:val="both"/>
        <w:rPr>
          <w:rFonts w:asciiTheme="majorHAnsi" w:hAnsiTheme="majorHAnsi"/>
        </w:rPr>
      </w:pPr>
      <w:r>
        <w:rPr>
          <w:noProof/>
          <w:lang w:eastAsia="tr-TR"/>
        </w:rPr>
        <w:drawing>
          <wp:inline distT="0" distB="0" distL="0" distR="0">
            <wp:extent cx="4962525" cy="2743200"/>
            <wp:effectExtent l="0" t="0" r="9525" b="19050"/>
            <wp:docPr id="12" name="Grafik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821EB" w:rsidRDefault="009821EB" w:rsidP="00BF4ACD">
      <w:pPr>
        <w:contextualSpacing/>
        <w:jc w:val="both"/>
        <w:rPr>
          <w:rFonts w:asciiTheme="majorHAnsi" w:hAnsiTheme="majorHAnsi"/>
        </w:rPr>
      </w:pPr>
    </w:p>
    <w:p w:rsidR="009821EB" w:rsidRDefault="00A24994" w:rsidP="00BF4ACD">
      <w:pPr>
        <w:contextualSpacing/>
        <w:jc w:val="both"/>
        <w:rPr>
          <w:rFonts w:asciiTheme="majorHAnsi" w:hAnsiTheme="majorHAnsi"/>
        </w:rPr>
      </w:pPr>
      <w:r>
        <w:rPr>
          <w:noProof/>
          <w:lang w:eastAsia="tr-TR"/>
        </w:rPr>
        <w:drawing>
          <wp:inline distT="0" distB="0" distL="0" distR="0">
            <wp:extent cx="4962525" cy="2743200"/>
            <wp:effectExtent l="0" t="0" r="9525" b="19050"/>
            <wp:docPr id="13" name="Grafi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4ACD" w:rsidRDefault="00BF4ACD" w:rsidP="009D1B4A"/>
    <w:p w:rsidR="00BF4ACD" w:rsidRDefault="00BF4ACD" w:rsidP="009D1B4A"/>
    <w:p w:rsidR="00BF4ACD" w:rsidRDefault="00BF4ACD" w:rsidP="009D1B4A"/>
    <w:p w:rsidR="00BF4ACD" w:rsidRDefault="00BF4ACD" w:rsidP="009D1B4A"/>
    <w:p w:rsidR="00BF4ACD" w:rsidRDefault="00BF4ACD" w:rsidP="009D1B4A"/>
    <w:p w:rsidR="0098371F" w:rsidRDefault="0098371F" w:rsidP="009D1B4A"/>
    <w:p w:rsidR="0098371F" w:rsidRDefault="0098371F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6"/>
        <w:gridCol w:w="1239"/>
        <w:gridCol w:w="1239"/>
        <w:gridCol w:w="957"/>
      </w:tblGrid>
      <w:tr w:rsidR="00A24994" w:rsidRPr="00A24994" w:rsidTr="00A24994">
        <w:trPr>
          <w:trHeight w:val="315"/>
        </w:trPr>
        <w:tc>
          <w:tcPr>
            <w:tcW w:w="39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TÜRKİYE - Birinci El - İpotekli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A24994" w:rsidRPr="00A24994" w:rsidTr="00A24994">
        <w:trPr>
          <w:trHeight w:val="315"/>
        </w:trPr>
        <w:tc>
          <w:tcPr>
            <w:tcW w:w="54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16.199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14.759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-9%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16.184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10.803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-33%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17.682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10.955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-38%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16.918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10.144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-40%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19.286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13.124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-32%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19.178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13.791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-28%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20.928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13.831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-34%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14.243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15.492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17.075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18.679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11.863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15.176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28%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16.956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17.443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A24994" w:rsidP="009D1B4A">
      <w:r>
        <w:rPr>
          <w:noProof/>
          <w:lang w:eastAsia="tr-TR"/>
        </w:rPr>
        <w:drawing>
          <wp:inline distT="0" distB="0" distL="0" distR="0">
            <wp:extent cx="5181600" cy="2466975"/>
            <wp:effectExtent l="0" t="0" r="19050" b="9525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A24994" w:rsidRDefault="00A24994" w:rsidP="009D1B4A"/>
    <w:tbl>
      <w:tblPr>
        <w:tblW w:w="398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6"/>
        <w:gridCol w:w="1239"/>
        <w:gridCol w:w="1239"/>
        <w:gridCol w:w="957"/>
      </w:tblGrid>
      <w:tr w:rsidR="00A24994" w:rsidRPr="00A24994" w:rsidTr="00A24994">
        <w:trPr>
          <w:trHeight w:val="315"/>
        </w:trPr>
        <w:tc>
          <w:tcPr>
            <w:tcW w:w="39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TÜRKİYE - Birinci El - Diğer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A24994" w:rsidRPr="00A24994" w:rsidTr="00A24994">
        <w:trPr>
          <w:trHeight w:val="315"/>
        </w:trPr>
        <w:tc>
          <w:tcPr>
            <w:tcW w:w="54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22.964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25.396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11%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23.337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27.271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17%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25.370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31.028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22%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24.315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27.411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13%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26.763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28.332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6%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24.167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28.829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19%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28.296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25.542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-10%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24.574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33.336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36%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29.703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34.360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16%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23.500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29.323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25%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31.299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40.886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A24994" w:rsidP="009D1B4A">
      <w:r>
        <w:rPr>
          <w:noProof/>
          <w:lang w:eastAsia="tr-TR"/>
        </w:rPr>
        <w:drawing>
          <wp:inline distT="0" distB="0" distL="0" distR="0">
            <wp:extent cx="5076825" cy="2514600"/>
            <wp:effectExtent l="0" t="0" r="9525" b="19050"/>
            <wp:docPr id="15" name="Grafik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6"/>
        <w:gridCol w:w="1239"/>
        <w:gridCol w:w="1239"/>
        <w:gridCol w:w="957"/>
      </w:tblGrid>
      <w:tr w:rsidR="00A24994" w:rsidRPr="00A24994" w:rsidTr="00A24994">
        <w:trPr>
          <w:trHeight w:val="315"/>
        </w:trPr>
        <w:tc>
          <w:tcPr>
            <w:tcW w:w="39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TÜRKİYE - Birinci El - (Tümü)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A24994" w:rsidRPr="00A24994" w:rsidTr="00A24994">
        <w:trPr>
          <w:trHeight w:val="315"/>
        </w:trPr>
        <w:tc>
          <w:tcPr>
            <w:tcW w:w="54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39.163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40.155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39.521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38.074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-4%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43.052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41.983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-2%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41.233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37.555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-9%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46.049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41.456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-10%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43.345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42.620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-2%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49.224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39.373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-20%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38.817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48.828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26%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46.778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53.039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13%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35.363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44.499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26%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48.255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58.329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A24994" w:rsidP="009D1B4A">
      <w:r>
        <w:rPr>
          <w:noProof/>
          <w:lang w:eastAsia="tr-TR"/>
        </w:rPr>
        <w:drawing>
          <wp:inline distT="0" distB="0" distL="0" distR="0">
            <wp:extent cx="4895850" cy="2514600"/>
            <wp:effectExtent l="0" t="0" r="19050" b="19050"/>
            <wp:docPr id="16" name="Grafik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6"/>
        <w:gridCol w:w="1239"/>
        <w:gridCol w:w="1239"/>
        <w:gridCol w:w="957"/>
      </w:tblGrid>
      <w:tr w:rsidR="00A24994" w:rsidRPr="00A24994" w:rsidTr="00A24994">
        <w:trPr>
          <w:trHeight w:val="315"/>
        </w:trPr>
        <w:tc>
          <w:tcPr>
            <w:tcW w:w="39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TÜRKİYE - İkinci El - İpotekli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A24994" w:rsidRPr="00A24994" w:rsidTr="00A24994">
        <w:trPr>
          <w:trHeight w:val="315"/>
        </w:trPr>
        <w:tc>
          <w:tcPr>
            <w:tcW w:w="54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20.382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17.287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-15%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20.966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13.256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-37%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24.127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13.510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-44%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23.894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13.303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-44%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25.984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16.636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-36%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24.585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18.238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-26%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25.125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17.081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-32%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17.316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19.846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15%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20.760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24.465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18%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14.474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19.275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33%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19.644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18.900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A24994" w:rsidRDefault="00A24994" w:rsidP="009D1B4A"/>
    <w:p w:rsidR="00163F01" w:rsidRDefault="00163F01" w:rsidP="009D1B4A"/>
    <w:p w:rsidR="00163F01" w:rsidRDefault="00A24994" w:rsidP="009D1B4A">
      <w:r>
        <w:rPr>
          <w:noProof/>
          <w:lang w:eastAsia="tr-TR"/>
        </w:rPr>
        <w:drawing>
          <wp:inline distT="0" distB="0" distL="0" distR="0">
            <wp:extent cx="5067300" cy="2466975"/>
            <wp:effectExtent l="0" t="0" r="19050" b="9525"/>
            <wp:docPr id="17" name="Grafik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6"/>
        <w:gridCol w:w="1239"/>
        <w:gridCol w:w="1239"/>
        <w:gridCol w:w="957"/>
      </w:tblGrid>
      <w:tr w:rsidR="00A24994" w:rsidRPr="00A24994" w:rsidTr="00A24994">
        <w:trPr>
          <w:trHeight w:val="315"/>
        </w:trPr>
        <w:tc>
          <w:tcPr>
            <w:tcW w:w="39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TÜRKİYE - İkinci El - Diğer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A24994" w:rsidRPr="00A24994" w:rsidTr="00A24994">
        <w:trPr>
          <w:trHeight w:val="315"/>
        </w:trPr>
        <w:tc>
          <w:tcPr>
            <w:tcW w:w="54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27.899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30.197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28.032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31.267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12%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30.777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32.124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30.254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32.752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31.228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32.285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28.494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32.078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13%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32.287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28.647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-11%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28.347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36.950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30%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34.742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38.282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26.507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31.871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20%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34.782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38.555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A24994" w:rsidP="009D1B4A">
      <w:r>
        <w:rPr>
          <w:noProof/>
          <w:lang w:eastAsia="tr-TR"/>
        </w:rPr>
        <w:drawing>
          <wp:inline distT="0" distB="0" distL="0" distR="0">
            <wp:extent cx="4819650" cy="2514600"/>
            <wp:effectExtent l="0" t="0" r="19050" b="19050"/>
            <wp:docPr id="20" name="Grafik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63F01" w:rsidRDefault="00163F01" w:rsidP="009D1B4A"/>
    <w:p w:rsidR="00EF6AE2" w:rsidRDefault="00EF6AE2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6"/>
        <w:gridCol w:w="1239"/>
        <w:gridCol w:w="1239"/>
        <w:gridCol w:w="957"/>
      </w:tblGrid>
      <w:tr w:rsidR="00A24994" w:rsidRPr="00A24994" w:rsidTr="00A24994">
        <w:trPr>
          <w:trHeight w:val="315"/>
        </w:trPr>
        <w:tc>
          <w:tcPr>
            <w:tcW w:w="39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TÜRKİYE - İkinci El - (Tümü)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A24994" w:rsidRPr="00A24994" w:rsidTr="00A24994">
        <w:trPr>
          <w:trHeight w:val="315"/>
        </w:trPr>
        <w:tc>
          <w:tcPr>
            <w:tcW w:w="54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48.281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47.484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-2%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48.998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44.523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-9%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54.904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45.634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-17%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54.148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46.055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-15%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57.212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48.921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-14%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53.079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50.316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-5%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57.412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45.728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-20%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45.663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56.796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24%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55.502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62.747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13%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40.981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51.146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25%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54.426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A24994" w:rsidRPr="00A24994" w:rsidTr="00A24994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57.455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A24994" w:rsidP="009D1B4A">
      <w:r>
        <w:rPr>
          <w:noProof/>
          <w:lang w:eastAsia="tr-TR"/>
        </w:rPr>
        <w:drawing>
          <wp:inline distT="0" distB="0" distL="0" distR="0">
            <wp:extent cx="5257800" cy="2514600"/>
            <wp:effectExtent l="0" t="0" r="19050" b="19050"/>
            <wp:docPr id="21" name="Grafik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92"/>
        <w:gridCol w:w="1312"/>
        <w:gridCol w:w="1312"/>
        <w:gridCol w:w="864"/>
      </w:tblGrid>
      <w:tr w:rsidR="00A24994" w:rsidRPr="00A24994" w:rsidTr="00A24994">
        <w:trPr>
          <w:trHeight w:val="315"/>
        </w:trPr>
        <w:tc>
          <w:tcPr>
            <w:tcW w:w="3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TÜRKİYE - (Tümü) - (Tümü)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A24994" w:rsidRPr="00A24994" w:rsidTr="00A24994">
        <w:trPr>
          <w:trHeight w:val="315"/>
        </w:trPr>
        <w:tc>
          <w:tcPr>
            <w:tcW w:w="49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87.444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87.639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0%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88.519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82.597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-7%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97.956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87.617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-11%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95.381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83.610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-12%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103.261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90.377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-12%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96.424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92.936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-4%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106.636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85.101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-20%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84.480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105.624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25%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102.280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115.786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13%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76.344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95.645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25%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102.681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A24994" w:rsidRPr="00A24994" w:rsidTr="00A24994">
        <w:trPr>
          <w:trHeight w:val="30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115.784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A24994" w:rsidP="009D1B4A">
      <w:r>
        <w:rPr>
          <w:noProof/>
          <w:lang w:eastAsia="tr-TR"/>
        </w:rPr>
        <w:drawing>
          <wp:inline distT="0" distB="0" distL="0" distR="0">
            <wp:extent cx="5153025" cy="2514600"/>
            <wp:effectExtent l="0" t="0" r="9525" b="19050"/>
            <wp:docPr id="22" name="Grafik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F6AE2" w:rsidRDefault="00EF6AE2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12"/>
        <w:gridCol w:w="1147"/>
        <w:gridCol w:w="1147"/>
        <w:gridCol w:w="1074"/>
      </w:tblGrid>
      <w:tr w:rsidR="00A24994" w:rsidRPr="00A24994" w:rsidTr="00A24994">
        <w:trPr>
          <w:trHeight w:val="315"/>
        </w:trPr>
        <w:tc>
          <w:tcPr>
            <w:tcW w:w="3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İSTANBUL - Birinci El - İpotekli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A24994" w:rsidRPr="00A24994" w:rsidTr="00A24994">
        <w:trPr>
          <w:trHeight w:val="315"/>
        </w:trPr>
        <w:tc>
          <w:tcPr>
            <w:tcW w:w="61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4.066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3.560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-12%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4.195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2.937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-30%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4.742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2.980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-37%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4.415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2.608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-41%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4.895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3.245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-34%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4.491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3.291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-27%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4.828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3.241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-33%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3.310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3.226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-3%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3.986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4.265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7%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3.120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3.399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9%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4.446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A24994" w:rsidRPr="00A24994" w:rsidTr="00A24994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4.615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994" w:rsidRPr="00A24994" w:rsidRDefault="00A24994" w:rsidP="00A24994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A24994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B62EA9" w:rsidP="009D1B4A">
      <w:r>
        <w:rPr>
          <w:noProof/>
          <w:lang w:eastAsia="tr-TR"/>
        </w:rPr>
        <w:drawing>
          <wp:inline distT="0" distB="0" distL="0" distR="0">
            <wp:extent cx="5133975" cy="2476500"/>
            <wp:effectExtent l="0" t="0" r="9525" b="19050"/>
            <wp:docPr id="23" name="Grafik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28"/>
        <w:gridCol w:w="1176"/>
        <w:gridCol w:w="1176"/>
        <w:gridCol w:w="1001"/>
      </w:tblGrid>
      <w:tr w:rsidR="00B62EA9" w:rsidRPr="00B62EA9" w:rsidTr="00B62EA9">
        <w:trPr>
          <w:trHeight w:val="315"/>
        </w:trPr>
        <w:tc>
          <w:tcPr>
            <w:tcW w:w="39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İSTANBUL - Birinci El - Diğer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B62EA9" w:rsidRPr="00B62EA9" w:rsidTr="00B62EA9">
        <w:trPr>
          <w:trHeight w:val="315"/>
        </w:trPr>
        <w:tc>
          <w:tcPr>
            <w:tcW w:w="62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4.232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4.084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-3%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4.082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4.944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21%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4.800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5.255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9%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4.336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4.959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14%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4.476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4.462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0%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3.669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5.924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61%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4.206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4.676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11%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3.650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4.791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31%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4.142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5.182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25%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3.617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4.470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24%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5.031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B62EA9" w:rsidRPr="00B62EA9" w:rsidTr="00B62EA9">
        <w:trPr>
          <w:trHeight w:val="300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6.503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B62EA9" w:rsidP="009D1B4A">
      <w:r>
        <w:rPr>
          <w:noProof/>
          <w:lang w:eastAsia="tr-TR"/>
        </w:rPr>
        <w:drawing>
          <wp:inline distT="0" distB="0" distL="0" distR="0">
            <wp:extent cx="5000625" cy="2524125"/>
            <wp:effectExtent l="0" t="0" r="9525" b="9525"/>
            <wp:docPr id="24" name="Grafik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77"/>
        <w:gridCol w:w="1310"/>
        <w:gridCol w:w="1081"/>
        <w:gridCol w:w="1012"/>
      </w:tblGrid>
      <w:tr w:rsidR="00B62EA9" w:rsidRPr="00B62EA9" w:rsidTr="00B62EA9">
        <w:trPr>
          <w:trHeight w:val="315"/>
        </w:trPr>
        <w:tc>
          <w:tcPr>
            <w:tcW w:w="3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İSTANBUL - Birinci El - (Tümü)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B62EA9" w:rsidRPr="00B62EA9" w:rsidTr="00B62EA9">
        <w:trPr>
          <w:trHeight w:val="315"/>
        </w:trPr>
        <w:tc>
          <w:tcPr>
            <w:tcW w:w="57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8.298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7.644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-8%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8.277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7.881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-5%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9.542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8.235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-14%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8.751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7.567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-14%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9.371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7.707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-18%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8.160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9.215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13%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9.034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7.917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-12%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6.960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8.017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15%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8.128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9.447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16%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6.737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7.869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17%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9.477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B62EA9" w:rsidRPr="00B62EA9" w:rsidTr="00B62EA9">
        <w:trPr>
          <w:trHeight w:val="300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11.118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B62EA9" w:rsidP="009D1B4A">
      <w:r>
        <w:rPr>
          <w:noProof/>
          <w:lang w:eastAsia="tr-TR"/>
        </w:rPr>
        <w:drawing>
          <wp:inline distT="0" distB="0" distL="0" distR="0">
            <wp:extent cx="5038725" cy="2524125"/>
            <wp:effectExtent l="0" t="0" r="9525" b="9525"/>
            <wp:docPr id="25" name="Grafik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12"/>
        <w:gridCol w:w="1147"/>
        <w:gridCol w:w="1147"/>
        <w:gridCol w:w="1074"/>
      </w:tblGrid>
      <w:tr w:rsidR="00B62EA9" w:rsidRPr="00B62EA9" w:rsidTr="00B62EA9">
        <w:trPr>
          <w:trHeight w:val="315"/>
        </w:trPr>
        <w:tc>
          <w:tcPr>
            <w:tcW w:w="3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İSTANBUL - İkinci El - İpotekli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B62EA9" w:rsidRPr="00B62EA9" w:rsidTr="00B62EA9">
        <w:trPr>
          <w:trHeight w:val="315"/>
        </w:trPr>
        <w:tc>
          <w:tcPr>
            <w:tcW w:w="61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4.357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3.894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-11%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4.641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3.081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-34%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5.422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3.099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-43%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5.311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3.059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-42%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5.910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3.807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-36%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5.271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3.996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-24%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5.243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3.789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-28%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3.524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3.756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4.167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5.021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20%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3.148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3.939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25%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4.420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4.454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B62EA9" w:rsidP="009D1B4A">
      <w:r>
        <w:rPr>
          <w:noProof/>
          <w:lang w:eastAsia="tr-TR"/>
        </w:rPr>
        <w:drawing>
          <wp:inline distT="0" distB="0" distL="0" distR="0">
            <wp:extent cx="5191125" cy="2476500"/>
            <wp:effectExtent l="0" t="0" r="9525" b="19050"/>
            <wp:docPr id="26" name="Grafik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EF6AE2" w:rsidRDefault="00EF6AE2" w:rsidP="009D1B4A"/>
    <w:p w:rsidR="00EF6AE2" w:rsidRDefault="00EF6AE2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12"/>
        <w:gridCol w:w="1147"/>
        <w:gridCol w:w="1147"/>
        <w:gridCol w:w="1074"/>
      </w:tblGrid>
      <w:tr w:rsidR="00B62EA9" w:rsidRPr="00B62EA9" w:rsidTr="00B62EA9">
        <w:trPr>
          <w:trHeight w:val="315"/>
        </w:trPr>
        <w:tc>
          <w:tcPr>
            <w:tcW w:w="3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İSTANBUL - İkinci El - Diğer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B62EA9" w:rsidRPr="00B62EA9" w:rsidTr="00B62EA9">
        <w:trPr>
          <w:trHeight w:val="315"/>
        </w:trPr>
        <w:tc>
          <w:tcPr>
            <w:tcW w:w="61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5.580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5.951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6.053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6.159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6.606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6.384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-3%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6.729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6.504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-3%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6.749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6.338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-6%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5.926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6.041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6.391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5.410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-15%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4.446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5.576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25%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6.219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6.455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4.981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5.432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9%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7.038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B62EA9" w:rsidRPr="00B62EA9" w:rsidTr="00B62EA9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8.350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B62EA9" w:rsidP="009D1B4A">
      <w:r>
        <w:rPr>
          <w:noProof/>
          <w:lang w:eastAsia="tr-TR"/>
        </w:rPr>
        <w:drawing>
          <wp:inline distT="0" distB="0" distL="0" distR="0">
            <wp:extent cx="5057775" cy="2524125"/>
            <wp:effectExtent l="0" t="0" r="9525" b="9525"/>
            <wp:docPr id="2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6"/>
        <w:gridCol w:w="1239"/>
        <w:gridCol w:w="1239"/>
        <w:gridCol w:w="957"/>
      </w:tblGrid>
      <w:tr w:rsidR="00B62EA9" w:rsidRPr="00B62EA9" w:rsidTr="00B62EA9">
        <w:trPr>
          <w:trHeight w:val="315"/>
        </w:trPr>
        <w:tc>
          <w:tcPr>
            <w:tcW w:w="39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İSTANBUL - İkinci El - (Tümü)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B62EA9" w:rsidRPr="00B62EA9" w:rsidTr="00B62EA9">
        <w:trPr>
          <w:trHeight w:val="315"/>
        </w:trPr>
        <w:tc>
          <w:tcPr>
            <w:tcW w:w="54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9.937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9.845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10.694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9.240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-14%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12.028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9.483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-21%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12.040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9.563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-21%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12.659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10.145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-20%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11.197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10.037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-10%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11.634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9.199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-21%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7.970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9.332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17%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10.386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11.476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10%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8.129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9.371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15%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11.458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12.804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163F01" w:rsidP="009D1B4A"/>
    <w:p w:rsidR="00163F01" w:rsidRDefault="00B62EA9" w:rsidP="009D1B4A">
      <w:r>
        <w:rPr>
          <w:noProof/>
          <w:lang w:eastAsia="tr-TR"/>
        </w:rPr>
        <w:drawing>
          <wp:inline distT="0" distB="0" distL="0" distR="0">
            <wp:extent cx="5295900" cy="2524125"/>
            <wp:effectExtent l="0" t="0" r="19050" b="9525"/>
            <wp:docPr id="28" name="Grafik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tbl>
      <w:tblPr>
        <w:tblW w:w="398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6"/>
        <w:gridCol w:w="1239"/>
        <w:gridCol w:w="1239"/>
        <w:gridCol w:w="957"/>
      </w:tblGrid>
      <w:tr w:rsidR="00B62EA9" w:rsidRPr="00B62EA9" w:rsidTr="00B62EA9">
        <w:trPr>
          <w:trHeight w:val="315"/>
        </w:trPr>
        <w:tc>
          <w:tcPr>
            <w:tcW w:w="39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İSTANBUL - (Tümü) - (Tümü)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</w:p>
        </w:tc>
      </w:tr>
      <w:tr w:rsidR="00B62EA9" w:rsidRPr="00B62EA9" w:rsidTr="00B62EA9">
        <w:trPr>
          <w:trHeight w:val="315"/>
        </w:trPr>
        <w:tc>
          <w:tcPr>
            <w:tcW w:w="54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Ay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2013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2014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b/>
                <w:bCs/>
                <w:color w:val="000000"/>
                <w:lang w:eastAsia="tr-TR"/>
              </w:rPr>
              <w:t>Fark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18.235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17.489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-4%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18.971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17.121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-10%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21.570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17.718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-18%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20.791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17.130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-18%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22.030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17.852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-19%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19.357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19.252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20.668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17.116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-17%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14.930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17.349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16%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18.514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20.923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13%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14.866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17.240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16%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20.935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  <w:tr w:rsidR="00B62EA9" w:rsidRPr="00B62EA9" w:rsidTr="00B62EA9">
        <w:trPr>
          <w:trHeight w:val="30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23.922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2EA9" w:rsidRPr="00B62EA9" w:rsidRDefault="00B62EA9" w:rsidP="00B62EA9">
            <w:pPr>
              <w:jc w:val="right"/>
              <w:rPr>
                <w:rFonts w:ascii="Arial" w:hAnsi="Arial" w:cs="Arial"/>
                <w:color w:val="000000"/>
                <w:lang w:eastAsia="tr-TR"/>
              </w:rPr>
            </w:pPr>
            <w:r w:rsidRPr="00B62EA9">
              <w:rPr>
                <w:rFonts w:ascii="Arial" w:hAnsi="Arial" w:cs="Arial"/>
                <w:color w:val="000000"/>
                <w:lang w:eastAsia="tr-TR"/>
              </w:rPr>
              <w:t>-</w:t>
            </w:r>
          </w:p>
        </w:tc>
      </w:tr>
    </w:tbl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B62EA9" w:rsidP="009D1B4A">
      <w:r>
        <w:rPr>
          <w:noProof/>
          <w:lang w:eastAsia="tr-TR"/>
        </w:rPr>
        <w:drawing>
          <wp:inline distT="0" distB="0" distL="0" distR="0">
            <wp:extent cx="5076825" cy="2524125"/>
            <wp:effectExtent l="0" t="0" r="9525" b="9525"/>
            <wp:docPr id="29" name="Grafik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p w:rsidR="00163F01" w:rsidRDefault="00163F01" w:rsidP="009D1B4A"/>
    <w:sectPr w:rsidR="00163F01" w:rsidSect="009D1B4A">
      <w:headerReference w:type="even" r:id="rId28"/>
      <w:headerReference w:type="default" r:id="rId29"/>
      <w:head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89E" w:rsidRDefault="00C2489E" w:rsidP="009D1B4A">
      <w:r>
        <w:separator/>
      </w:r>
    </w:p>
  </w:endnote>
  <w:endnote w:type="continuationSeparator" w:id="0">
    <w:p w:rsidR="00C2489E" w:rsidRDefault="00C2489E" w:rsidP="009D1B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89E" w:rsidRDefault="00C2489E" w:rsidP="009D1B4A">
      <w:r>
        <w:separator/>
      </w:r>
    </w:p>
  </w:footnote>
  <w:footnote w:type="continuationSeparator" w:id="0">
    <w:p w:rsidR="00C2489E" w:rsidRDefault="00C2489E" w:rsidP="009D1B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994" w:rsidRDefault="0027453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9188" o:spid="_x0000_s2050" type="#_x0000_t75" style="position:absolute;margin-left:0;margin-top:0;width:597.1pt;height:841.9pt;z-index:-251657216;mso-position-horizontal:center;mso-position-horizontal-relative:margin;mso-position-vertical:center;mso-position-vertical-relative:margin" o:allowincell="f">
          <v:imagedata r:id="rId1" o:title="kk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994" w:rsidRDefault="0027453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9189" o:spid="_x0000_s2051" type="#_x0000_t75" style="position:absolute;margin-left:0;margin-top:0;width:597.1pt;height:841.9pt;z-index:-251656192;mso-position-horizontal:center;mso-position-horizontal-relative:margin;mso-position-vertical:center;mso-position-vertical-relative:margin" o:allowincell="f">
          <v:imagedata r:id="rId1" o:title="kkk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994" w:rsidRDefault="0027453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9187" o:spid="_x0000_s2049" type="#_x0000_t75" style="position:absolute;margin-left:0;margin-top:0;width:597.1pt;height:841.9pt;z-index:-251658240;mso-position-horizontal:center;mso-position-horizontal-relative:margin;mso-position-vertical:center;mso-position-vertical-relative:margin" o:allowincell="f">
          <v:imagedata r:id="rId1" o:title="kkk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D1B4A"/>
    <w:rsid w:val="00015092"/>
    <w:rsid w:val="001048FC"/>
    <w:rsid w:val="00162469"/>
    <w:rsid w:val="00163F01"/>
    <w:rsid w:val="001660B3"/>
    <w:rsid w:val="00197E85"/>
    <w:rsid w:val="001F2B27"/>
    <w:rsid w:val="00274535"/>
    <w:rsid w:val="002D0408"/>
    <w:rsid w:val="002E55B7"/>
    <w:rsid w:val="00336E03"/>
    <w:rsid w:val="00343F2F"/>
    <w:rsid w:val="003751F1"/>
    <w:rsid w:val="003A67B3"/>
    <w:rsid w:val="004D0611"/>
    <w:rsid w:val="005B2A11"/>
    <w:rsid w:val="005D3632"/>
    <w:rsid w:val="005D533A"/>
    <w:rsid w:val="005E619B"/>
    <w:rsid w:val="0066488B"/>
    <w:rsid w:val="00672365"/>
    <w:rsid w:val="00706597"/>
    <w:rsid w:val="0075545A"/>
    <w:rsid w:val="00906107"/>
    <w:rsid w:val="00937774"/>
    <w:rsid w:val="00957ADE"/>
    <w:rsid w:val="009821EB"/>
    <w:rsid w:val="0098371F"/>
    <w:rsid w:val="009D1B4A"/>
    <w:rsid w:val="00A06326"/>
    <w:rsid w:val="00A24994"/>
    <w:rsid w:val="00A319BD"/>
    <w:rsid w:val="00A47270"/>
    <w:rsid w:val="00AF1FBD"/>
    <w:rsid w:val="00B27F2A"/>
    <w:rsid w:val="00B503CC"/>
    <w:rsid w:val="00B62EA9"/>
    <w:rsid w:val="00BB6FDF"/>
    <w:rsid w:val="00BF4ACD"/>
    <w:rsid w:val="00C15661"/>
    <w:rsid w:val="00C2489E"/>
    <w:rsid w:val="00CD6025"/>
    <w:rsid w:val="00D029C9"/>
    <w:rsid w:val="00D30A8D"/>
    <w:rsid w:val="00D9787F"/>
    <w:rsid w:val="00DE1950"/>
    <w:rsid w:val="00E51CCA"/>
    <w:rsid w:val="00E62802"/>
    <w:rsid w:val="00E63451"/>
    <w:rsid w:val="00EF6AE2"/>
    <w:rsid w:val="00F40349"/>
    <w:rsid w:val="00F4674A"/>
    <w:rsid w:val="00F746A1"/>
    <w:rsid w:val="00FC161E"/>
    <w:rsid w:val="00FC5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5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9D1B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D1B4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D1B4A"/>
  </w:style>
  <w:style w:type="paragraph" w:styleId="Altbilgi">
    <w:name w:val="footer"/>
    <w:basedOn w:val="Normal"/>
    <w:link w:val="AltbilgiChar"/>
    <w:uiPriority w:val="99"/>
    <w:semiHidden/>
    <w:unhideWhenUsed/>
    <w:rsid w:val="009D1B4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D1B4A"/>
  </w:style>
  <w:style w:type="character" w:customStyle="1" w:styleId="Balk1Char">
    <w:name w:val="Başlık 1 Char"/>
    <w:basedOn w:val="VarsaylanParagrafYazTipi"/>
    <w:link w:val="Balk1"/>
    <w:uiPriority w:val="9"/>
    <w:rsid w:val="009D1B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7236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236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5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9D1B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D1B4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D1B4A"/>
  </w:style>
  <w:style w:type="paragraph" w:styleId="Altbilgi">
    <w:name w:val="footer"/>
    <w:basedOn w:val="Normal"/>
    <w:link w:val="AltbilgiChar"/>
    <w:uiPriority w:val="99"/>
    <w:semiHidden/>
    <w:unhideWhenUsed/>
    <w:rsid w:val="009D1B4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D1B4A"/>
  </w:style>
  <w:style w:type="character" w:customStyle="1" w:styleId="Balk1Char">
    <w:name w:val="Başlık 1 Char"/>
    <w:basedOn w:val="VarsaylanParagrafYazTipi"/>
    <w:link w:val="Balk1"/>
    <w:uiPriority w:val="9"/>
    <w:rsid w:val="009D1B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7236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23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" Type="http://schemas.openxmlformats.org/officeDocument/2006/relationships/webSettings" Target="webSetting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header" Target="header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unc.karabulut\Desktop\Konutder%20Rapor\1-Kopya%20di&#287;er%20istatistikler%20v8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>
        <c:manualLayout>
          <c:layoutTarget val="inner"/>
          <c:xMode val="edge"/>
          <c:yMode val="edge"/>
          <c:x val="0.16517615127104732"/>
          <c:y val="7.5391616464226138E-2"/>
          <c:w val="0.79592631130225422"/>
          <c:h val="0.53528678617583303"/>
        </c:manualLayout>
      </c:layout>
      <c:barChart>
        <c:barDir val="col"/>
        <c:grouping val="clustered"/>
        <c:ser>
          <c:idx val="0"/>
          <c:order val="0"/>
          <c:tx>
            <c:strRef>
              <c:f>'konut satışları'!$AH$26</c:f>
              <c:strCache>
                <c:ptCount val="1"/>
                <c:pt idx="0">
                  <c:v>Fark</c:v>
                </c:pt>
              </c:strCache>
            </c:strRef>
          </c:tx>
          <c:dLbls>
            <c:showVal val="1"/>
          </c:dLbls>
          <c:cat>
            <c:strRef>
              <c:f>'konut satışları'!$AE$27:$AE$36</c:f>
              <c:strCache>
                <c:ptCount val="10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  <c:pt idx="6">
                  <c:v>Temmuz</c:v>
                </c:pt>
                <c:pt idx="7">
                  <c:v>Ağustos</c:v>
                </c:pt>
                <c:pt idx="8">
                  <c:v>Eylül</c:v>
                </c:pt>
                <c:pt idx="9">
                  <c:v>Ekim</c:v>
                </c:pt>
              </c:strCache>
            </c:strRef>
          </c:cat>
          <c:val>
            <c:numRef>
              <c:f>'konut satışları'!$AH$27:$AH$36</c:f>
              <c:numCache>
                <c:formatCode>#,##0</c:formatCode>
                <c:ptCount val="10"/>
                <c:pt idx="0">
                  <c:v>195</c:v>
                </c:pt>
                <c:pt idx="1">
                  <c:v>-5922</c:v>
                </c:pt>
                <c:pt idx="2">
                  <c:v>-10339</c:v>
                </c:pt>
                <c:pt idx="3">
                  <c:v>-11771</c:v>
                </c:pt>
                <c:pt idx="4">
                  <c:v>-12884</c:v>
                </c:pt>
                <c:pt idx="5">
                  <c:v>-3488</c:v>
                </c:pt>
                <c:pt idx="6">
                  <c:v>-21535</c:v>
                </c:pt>
                <c:pt idx="7">
                  <c:v>21144</c:v>
                </c:pt>
                <c:pt idx="8">
                  <c:v>13506</c:v>
                </c:pt>
                <c:pt idx="9">
                  <c:v>19301</c:v>
                </c:pt>
              </c:numCache>
            </c:numRef>
          </c:val>
        </c:ser>
        <c:axId val="222989312"/>
        <c:axId val="277635840"/>
      </c:barChart>
      <c:catAx>
        <c:axId val="222989312"/>
        <c:scaling>
          <c:orientation val="minMax"/>
        </c:scaling>
        <c:axPos val="b"/>
        <c:tickLblPos val="low"/>
        <c:txPr>
          <a:bodyPr rot="-5400000" vert="horz"/>
          <a:lstStyle/>
          <a:p>
            <a:pPr>
              <a:defRPr/>
            </a:pPr>
            <a:endParaRPr lang="tr-TR"/>
          </a:p>
        </c:txPr>
        <c:crossAx val="277635840"/>
        <c:crosses val="autoZero"/>
        <c:auto val="1"/>
        <c:lblAlgn val="ctr"/>
        <c:lblOffset val="100"/>
      </c:catAx>
      <c:valAx>
        <c:axId val="277635840"/>
        <c:scaling>
          <c:orientation val="minMax"/>
        </c:scaling>
        <c:axPos val="l"/>
        <c:numFmt formatCode="#,##0" sourceLinked="1"/>
        <c:tickLblPos val="nextTo"/>
        <c:crossAx val="222989312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tr!$G$27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tr!$F$28:$F$39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tr!$G$28:$G$39</c:f>
              <c:numCache>
                <c:formatCode>#,##0</c:formatCode>
                <c:ptCount val="12"/>
                <c:pt idx="0">
                  <c:v>22964</c:v>
                </c:pt>
                <c:pt idx="1">
                  <c:v>23337</c:v>
                </c:pt>
                <c:pt idx="2">
                  <c:v>25370</c:v>
                </c:pt>
                <c:pt idx="3">
                  <c:v>24315</c:v>
                </c:pt>
                <c:pt idx="4">
                  <c:v>26763</c:v>
                </c:pt>
                <c:pt idx="5">
                  <c:v>24167</c:v>
                </c:pt>
                <c:pt idx="6">
                  <c:v>28296</c:v>
                </c:pt>
                <c:pt idx="7">
                  <c:v>24574</c:v>
                </c:pt>
                <c:pt idx="8">
                  <c:v>29703</c:v>
                </c:pt>
                <c:pt idx="9">
                  <c:v>23500</c:v>
                </c:pt>
                <c:pt idx="10">
                  <c:v>31299</c:v>
                </c:pt>
                <c:pt idx="11">
                  <c:v>40886</c:v>
                </c:pt>
              </c:numCache>
            </c:numRef>
          </c:val>
        </c:ser>
        <c:ser>
          <c:idx val="1"/>
          <c:order val="1"/>
          <c:tx>
            <c:strRef>
              <c:f>tr!$H$27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tr!$F$28:$F$39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tr!$H$28:$H$39</c:f>
              <c:numCache>
                <c:formatCode>#,##0</c:formatCode>
                <c:ptCount val="12"/>
                <c:pt idx="0">
                  <c:v>25396</c:v>
                </c:pt>
                <c:pt idx="1">
                  <c:v>27271</c:v>
                </c:pt>
                <c:pt idx="2">
                  <c:v>31028</c:v>
                </c:pt>
                <c:pt idx="3">
                  <c:v>27411</c:v>
                </c:pt>
                <c:pt idx="4">
                  <c:v>28332</c:v>
                </c:pt>
                <c:pt idx="5">
                  <c:v>28829</c:v>
                </c:pt>
                <c:pt idx="6">
                  <c:v>25542</c:v>
                </c:pt>
                <c:pt idx="7">
                  <c:v>33336</c:v>
                </c:pt>
                <c:pt idx="8">
                  <c:v>34360</c:v>
                </c:pt>
                <c:pt idx="9">
                  <c:v>29323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27565696"/>
        <c:axId val="327567232"/>
      </c:barChart>
      <c:catAx>
        <c:axId val="327565696"/>
        <c:scaling>
          <c:orientation val="minMax"/>
        </c:scaling>
        <c:axPos val="b"/>
        <c:numFmt formatCode="#,##0" sourceLinked="1"/>
        <c:tickLblPos val="nextTo"/>
        <c:crossAx val="327567232"/>
        <c:crosses val="autoZero"/>
        <c:auto val="1"/>
        <c:lblAlgn val="ctr"/>
        <c:lblOffset val="100"/>
      </c:catAx>
      <c:valAx>
        <c:axId val="327567232"/>
        <c:scaling>
          <c:orientation val="minMax"/>
        </c:scaling>
        <c:axPos val="l"/>
        <c:numFmt formatCode="#,##0" sourceLinked="1"/>
        <c:tickLblPos val="nextTo"/>
        <c:crossAx val="327565696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tr!$G$48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tr!$F$49:$F$60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tr!$G$49:$G$60</c:f>
              <c:numCache>
                <c:formatCode>#,##0</c:formatCode>
                <c:ptCount val="12"/>
                <c:pt idx="0">
                  <c:v>39163</c:v>
                </c:pt>
                <c:pt idx="1">
                  <c:v>39521</c:v>
                </c:pt>
                <c:pt idx="2">
                  <c:v>43052</c:v>
                </c:pt>
                <c:pt idx="3">
                  <c:v>41233</c:v>
                </c:pt>
                <c:pt idx="4">
                  <c:v>46049</c:v>
                </c:pt>
                <c:pt idx="5">
                  <c:v>43345</c:v>
                </c:pt>
                <c:pt idx="6">
                  <c:v>49224</c:v>
                </c:pt>
                <c:pt idx="7">
                  <c:v>38817</c:v>
                </c:pt>
                <c:pt idx="8">
                  <c:v>46778</c:v>
                </c:pt>
                <c:pt idx="9">
                  <c:v>35363</c:v>
                </c:pt>
                <c:pt idx="10">
                  <c:v>48255</c:v>
                </c:pt>
                <c:pt idx="11">
                  <c:v>58329</c:v>
                </c:pt>
              </c:numCache>
            </c:numRef>
          </c:val>
        </c:ser>
        <c:ser>
          <c:idx val="1"/>
          <c:order val="1"/>
          <c:tx>
            <c:strRef>
              <c:f>tr!$H$48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tr!$F$49:$F$60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tr!$H$49:$H$60</c:f>
              <c:numCache>
                <c:formatCode>#,##0</c:formatCode>
                <c:ptCount val="12"/>
                <c:pt idx="0">
                  <c:v>40155</c:v>
                </c:pt>
                <c:pt idx="1">
                  <c:v>38074</c:v>
                </c:pt>
                <c:pt idx="2">
                  <c:v>41983</c:v>
                </c:pt>
                <c:pt idx="3">
                  <c:v>37555</c:v>
                </c:pt>
                <c:pt idx="4">
                  <c:v>41456</c:v>
                </c:pt>
                <c:pt idx="5">
                  <c:v>42620</c:v>
                </c:pt>
                <c:pt idx="6">
                  <c:v>39373</c:v>
                </c:pt>
                <c:pt idx="7">
                  <c:v>48828</c:v>
                </c:pt>
                <c:pt idx="8">
                  <c:v>53039</c:v>
                </c:pt>
                <c:pt idx="9">
                  <c:v>44499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28669824"/>
        <c:axId val="328720768"/>
      </c:barChart>
      <c:catAx>
        <c:axId val="328669824"/>
        <c:scaling>
          <c:orientation val="minMax"/>
        </c:scaling>
        <c:axPos val="b"/>
        <c:numFmt formatCode="#,##0" sourceLinked="1"/>
        <c:tickLblPos val="nextTo"/>
        <c:crossAx val="328720768"/>
        <c:crosses val="autoZero"/>
        <c:auto val="1"/>
        <c:lblAlgn val="ctr"/>
        <c:lblOffset val="100"/>
      </c:catAx>
      <c:valAx>
        <c:axId val="328720768"/>
        <c:scaling>
          <c:orientation val="minMax"/>
        </c:scaling>
        <c:axPos val="l"/>
        <c:numFmt formatCode="#,##0" sourceLinked="1"/>
        <c:tickLblPos val="nextTo"/>
        <c:crossAx val="328669824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tr!$G$69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tr!$F$70:$F$81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tr!$G$70:$G$81</c:f>
              <c:numCache>
                <c:formatCode>#,##0</c:formatCode>
                <c:ptCount val="12"/>
                <c:pt idx="0">
                  <c:v>20382</c:v>
                </c:pt>
                <c:pt idx="1">
                  <c:v>20966</c:v>
                </c:pt>
                <c:pt idx="2">
                  <c:v>24127</c:v>
                </c:pt>
                <c:pt idx="3">
                  <c:v>23894</c:v>
                </c:pt>
                <c:pt idx="4">
                  <c:v>25984</c:v>
                </c:pt>
                <c:pt idx="5">
                  <c:v>24585</c:v>
                </c:pt>
                <c:pt idx="6">
                  <c:v>25125</c:v>
                </c:pt>
                <c:pt idx="7">
                  <c:v>17316</c:v>
                </c:pt>
                <c:pt idx="8">
                  <c:v>20760</c:v>
                </c:pt>
                <c:pt idx="9">
                  <c:v>14474</c:v>
                </c:pt>
                <c:pt idx="10">
                  <c:v>19644</c:v>
                </c:pt>
                <c:pt idx="11">
                  <c:v>18900</c:v>
                </c:pt>
              </c:numCache>
            </c:numRef>
          </c:val>
        </c:ser>
        <c:ser>
          <c:idx val="1"/>
          <c:order val="1"/>
          <c:tx>
            <c:strRef>
              <c:f>tr!$H$69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tr!$F$70:$F$81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tr!$H$70:$H$81</c:f>
              <c:numCache>
                <c:formatCode>#,##0</c:formatCode>
                <c:ptCount val="12"/>
                <c:pt idx="0">
                  <c:v>17287</c:v>
                </c:pt>
                <c:pt idx="1">
                  <c:v>13256</c:v>
                </c:pt>
                <c:pt idx="2">
                  <c:v>13510</c:v>
                </c:pt>
                <c:pt idx="3">
                  <c:v>13303</c:v>
                </c:pt>
                <c:pt idx="4">
                  <c:v>16636</c:v>
                </c:pt>
                <c:pt idx="5">
                  <c:v>18238</c:v>
                </c:pt>
                <c:pt idx="6">
                  <c:v>17081</c:v>
                </c:pt>
                <c:pt idx="7">
                  <c:v>19846</c:v>
                </c:pt>
                <c:pt idx="8">
                  <c:v>24465</c:v>
                </c:pt>
                <c:pt idx="9">
                  <c:v>19275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30867840"/>
        <c:axId val="330869376"/>
      </c:barChart>
      <c:catAx>
        <c:axId val="330867840"/>
        <c:scaling>
          <c:orientation val="minMax"/>
        </c:scaling>
        <c:axPos val="b"/>
        <c:numFmt formatCode="#,##0" sourceLinked="1"/>
        <c:tickLblPos val="nextTo"/>
        <c:crossAx val="330869376"/>
        <c:crosses val="autoZero"/>
        <c:auto val="1"/>
        <c:lblAlgn val="ctr"/>
        <c:lblOffset val="100"/>
      </c:catAx>
      <c:valAx>
        <c:axId val="330869376"/>
        <c:scaling>
          <c:orientation val="minMax"/>
        </c:scaling>
        <c:axPos val="l"/>
        <c:numFmt formatCode="#,##0" sourceLinked="1"/>
        <c:tickLblPos val="nextTo"/>
        <c:crossAx val="330867840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tr!$G$90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tr!$F$91:$F$102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tr!$G$91:$G$102</c:f>
              <c:numCache>
                <c:formatCode>#,##0</c:formatCode>
                <c:ptCount val="12"/>
                <c:pt idx="0">
                  <c:v>27899</c:v>
                </c:pt>
                <c:pt idx="1">
                  <c:v>28032</c:v>
                </c:pt>
                <c:pt idx="2">
                  <c:v>30777</c:v>
                </c:pt>
                <c:pt idx="3">
                  <c:v>30254</c:v>
                </c:pt>
                <c:pt idx="4">
                  <c:v>31228</c:v>
                </c:pt>
                <c:pt idx="5">
                  <c:v>28494</c:v>
                </c:pt>
                <c:pt idx="6">
                  <c:v>32287</c:v>
                </c:pt>
                <c:pt idx="7">
                  <c:v>28347</c:v>
                </c:pt>
                <c:pt idx="8">
                  <c:v>34742</c:v>
                </c:pt>
                <c:pt idx="9">
                  <c:v>26507</c:v>
                </c:pt>
                <c:pt idx="10">
                  <c:v>34782</c:v>
                </c:pt>
                <c:pt idx="11">
                  <c:v>38555</c:v>
                </c:pt>
              </c:numCache>
            </c:numRef>
          </c:val>
        </c:ser>
        <c:ser>
          <c:idx val="1"/>
          <c:order val="1"/>
          <c:tx>
            <c:strRef>
              <c:f>tr!$H$90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tr!$F$91:$F$102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tr!$H$91:$H$102</c:f>
              <c:numCache>
                <c:formatCode>#,##0</c:formatCode>
                <c:ptCount val="12"/>
                <c:pt idx="0">
                  <c:v>30197</c:v>
                </c:pt>
                <c:pt idx="1">
                  <c:v>31267</c:v>
                </c:pt>
                <c:pt idx="2">
                  <c:v>32124</c:v>
                </c:pt>
                <c:pt idx="3">
                  <c:v>32752</c:v>
                </c:pt>
                <c:pt idx="4">
                  <c:v>32285</c:v>
                </c:pt>
                <c:pt idx="5">
                  <c:v>32078</c:v>
                </c:pt>
                <c:pt idx="6">
                  <c:v>28647</c:v>
                </c:pt>
                <c:pt idx="7">
                  <c:v>36950</c:v>
                </c:pt>
                <c:pt idx="8">
                  <c:v>38282</c:v>
                </c:pt>
                <c:pt idx="9">
                  <c:v>31871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32414336"/>
        <c:axId val="332452992"/>
      </c:barChart>
      <c:catAx>
        <c:axId val="332414336"/>
        <c:scaling>
          <c:orientation val="minMax"/>
        </c:scaling>
        <c:axPos val="b"/>
        <c:numFmt formatCode="#,##0" sourceLinked="1"/>
        <c:tickLblPos val="nextTo"/>
        <c:crossAx val="332452992"/>
        <c:crosses val="autoZero"/>
        <c:auto val="1"/>
        <c:lblAlgn val="ctr"/>
        <c:lblOffset val="100"/>
      </c:catAx>
      <c:valAx>
        <c:axId val="332452992"/>
        <c:scaling>
          <c:orientation val="minMax"/>
        </c:scaling>
        <c:axPos val="l"/>
        <c:numFmt formatCode="#,##0" sourceLinked="1"/>
        <c:tickLblPos val="nextTo"/>
        <c:crossAx val="332414336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tr!$G$111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tr!$F$112:$F$123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tr!$G$112:$G$123</c:f>
              <c:numCache>
                <c:formatCode>#,##0</c:formatCode>
                <c:ptCount val="12"/>
                <c:pt idx="0">
                  <c:v>48281</c:v>
                </c:pt>
                <c:pt idx="1">
                  <c:v>48998</c:v>
                </c:pt>
                <c:pt idx="2">
                  <c:v>54904</c:v>
                </c:pt>
                <c:pt idx="3">
                  <c:v>54148</c:v>
                </c:pt>
                <c:pt idx="4">
                  <c:v>57212</c:v>
                </c:pt>
                <c:pt idx="5">
                  <c:v>53079</c:v>
                </c:pt>
                <c:pt idx="6">
                  <c:v>57412</c:v>
                </c:pt>
                <c:pt idx="7">
                  <c:v>45663</c:v>
                </c:pt>
                <c:pt idx="8">
                  <c:v>55502</c:v>
                </c:pt>
                <c:pt idx="9">
                  <c:v>40981</c:v>
                </c:pt>
                <c:pt idx="10">
                  <c:v>54426</c:v>
                </c:pt>
                <c:pt idx="11">
                  <c:v>57455</c:v>
                </c:pt>
              </c:numCache>
            </c:numRef>
          </c:val>
        </c:ser>
        <c:ser>
          <c:idx val="1"/>
          <c:order val="1"/>
          <c:tx>
            <c:strRef>
              <c:f>tr!$H$111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tr!$F$112:$F$123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tr!$H$112:$H$123</c:f>
              <c:numCache>
                <c:formatCode>#,##0</c:formatCode>
                <c:ptCount val="12"/>
                <c:pt idx="0">
                  <c:v>47484</c:v>
                </c:pt>
                <c:pt idx="1">
                  <c:v>44523</c:v>
                </c:pt>
                <c:pt idx="2">
                  <c:v>45634</c:v>
                </c:pt>
                <c:pt idx="3">
                  <c:v>46055</c:v>
                </c:pt>
                <c:pt idx="4">
                  <c:v>48921</c:v>
                </c:pt>
                <c:pt idx="5">
                  <c:v>50316</c:v>
                </c:pt>
                <c:pt idx="6">
                  <c:v>45728</c:v>
                </c:pt>
                <c:pt idx="7">
                  <c:v>56796</c:v>
                </c:pt>
                <c:pt idx="8">
                  <c:v>62747</c:v>
                </c:pt>
                <c:pt idx="9">
                  <c:v>51146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47060096"/>
        <c:axId val="347061632"/>
      </c:barChart>
      <c:catAx>
        <c:axId val="347060096"/>
        <c:scaling>
          <c:orientation val="minMax"/>
        </c:scaling>
        <c:axPos val="b"/>
        <c:numFmt formatCode="#,##0" sourceLinked="1"/>
        <c:tickLblPos val="nextTo"/>
        <c:crossAx val="347061632"/>
        <c:crosses val="autoZero"/>
        <c:auto val="1"/>
        <c:lblAlgn val="ctr"/>
        <c:lblOffset val="100"/>
      </c:catAx>
      <c:valAx>
        <c:axId val="347061632"/>
        <c:scaling>
          <c:orientation val="minMax"/>
        </c:scaling>
        <c:axPos val="l"/>
        <c:numFmt formatCode="#,##0" sourceLinked="1"/>
        <c:tickLblPos val="nextTo"/>
        <c:crossAx val="347060096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tr!$G$132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tr!$F$133:$F$144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tr!$G$133:$G$144</c:f>
              <c:numCache>
                <c:formatCode>#,##0</c:formatCode>
                <c:ptCount val="12"/>
                <c:pt idx="0">
                  <c:v>87444</c:v>
                </c:pt>
                <c:pt idx="1">
                  <c:v>88519</c:v>
                </c:pt>
                <c:pt idx="2">
                  <c:v>97956</c:v>
                </c:pt>
                <c:pt idx="3">
                  <c:v>95381</c:v>
                </c:pt>
                <c:pt idx="4">
                  <c:v>103261</c:v>
                </c:pt>
                <c:pt idx="5">
                  <c:v>96424</c:v>
                </c:pt>
                <c:pt idx="6">
                  <c:v>106636</c:v>
                </c:pt>
                <c:pt idx="7">
                  <c:v>84480</c:v>
                </c:pt>
                <c:pt idx="8">
                  <c:v>102280</c:v>
                </c:pt>
                <c:pt idx="9">
                  <c:v>76344</c:v>
                </c:pt>
                <c:pt idx="10">
                  <c:v>102681</c:v>
                </c:pt>
                <c:pt idx="11">
                  <c:v>115784</c:v>
                </c:pt>
              </c:numCache>
            </c:numRef>
          </c:val>
        </c:ser>
        <c:ser>
          <c:idx val="1"/>
          <c:order val="1"/>
          <c:tx>
            <c:strRef>
              <c:f>tr!$H$132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tr!$F$133:$F$144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tr!$H$133:$H$144</c:f>
              <c:numCache>
                <c:formatCode>#,##0</c:formatCode>
                <c:ptCount val="12"/>
                <c:pt idx="0">
                  <c:v>87639</c:v>
                </c:pt>
                <c:pt idx="1">
                  <c:v>82597</c:v>
                </c:pt>
                <c:pt idx="2">
                  <c:v>87617</c:v>
                </c:pt>
                <c:pt idx="3">
                  <c:v>83610</c:v>
                </c:pt>
                <c:pt idx="4">
                  <c:v>90377</c:v>
                </c:pt>
                <c:pt idx="5">
                  <c:v>92936</c:v>
                </c:pt>
                <c:pt idx="6">
                  <c:v>85101</c:v>
                </c:pt>
                <c:pt idx="7">
                  <c:v>105624</c:v>
                </c:pt>
                <c:pt idx="8">
                  <c:v>115786</c:v>
                </c:pt>
                <c:pt idx="9">
                  <c:v>95645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49897088"/>
        <c:axId val="349898624"/>
      </c:barChart>
      <c:catAx>
        <c:axId val="349897088"/>
        <c:scaling>
          <c:orientation val="minMax"/>
        </c:scaling>
        <c:axPos val="b"/>
        <c:numFmt formatCode="#,##0" sourceLinked="1"/>
        <c:tickLblPos val="nextTo"/>
        <c:crossAx val="349898624"/>
        <c:crosses val="autoZero"/>
        <c:auto val="1"/>
        <c:lblAlgn val="ctr"/>
        <c:lblOffset val="100"/>
      </c:catAx>
      <c:valAx>
        <c:axId val="349898624"/>
        <c:scaling>
          <c:orientation val="minMax"/>
        </c:scaling>
        <c:axPos val="l"/>
        <c:numFmt formatCode="#,##0" sourceLinked="1"/>
        <c:tickLblPos val="nextTo"/>
        <c:crossAx val="349897088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ist!$G$6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ist!$F$7:$F$18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ist!$G$7:$G$18</c:f>
              <c:numCache>
                <c:formatCode>#,##0</c:formatCode>
                <c:ptCount val="12"/>
                <c:pt idx="0">
                  <c:v>4066</c:v>
                </c:pt>
                <c:pt idx="1">
                  <c:v>4195</c:v>
                </c:pt>
                <c:pt idx="2">
                  <c:v>4742</c:v>
                </c:pt>
                <c:pt idx="3">
                  <c:v>4415</c:v>
                </c:pt>
                <c:pt idx="4">
                  <c:v>4895</c:v>
                </c:pt>
                <c:pt idx="5">
                  <c:v>4491</c:v>
                </c:pt>
                <c:pt idx="6">
                  <c:v>4828</c:v>
                </c:pt>
                <c:pt idx="7">
                  <c:v>3310</c:v>
                </c:pt>
                <c:pt idx="8">
                  <c:v>3986</c:v>
                </c:pt>
                <c:pt idx="9">
                  <c:v>3120</c:v>
                </c:pt>
                <c:pt idx="10">
                  <c:v>4446</c:v>
                </c:pt>
                <c:pt idx="11">
                  <c:v>4615</c:v>
                </c:pt>
              </c:numCache>
            </c:numRef>
          </c:val>
        </c:ser>
        <c:ser>
          <c:idx val="1"/>
          <c:order val="1"/>
          <c:tx>
            <c:strRef>
              <c:f>ist!$H$6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ist!$F$7:$F$18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ist!$H$7:$H$18</c:f>
              <c:numCache>
                <c:formatCode>#,##0</c:formatCode>
                <c:ptCount val="12"/>
                <c:pt idx="0">
                  <c:v>3560</c:v>
                </c:pt>
                <c:pt idx="1">
                  <c:v>2937</c:v>
                </c:pt>
                <c:pt idx="2">
                  <c:v>2980</c:v>
                </c:pt>
                <c:pt idx="3">
                  <c:v>2608</c:v>
                </c:pt>
                <c:pt idx="4">
                  <c:v>3245</c:v>
                </c:pt>
                <c:pt idx="5">
                  <c:v>3291</c:v>
                </c:pt>
                <c:pt idx="6">
                  <c:v>3241</c:v>
                </c:pt>
                <c:pt idx="7">
                  <c:v>3226</c:v>
                </c:pt>
                <c:pt idx="8">
                  <c:v>4265</c:v>
                </c:pt>
                <c:pt idx="9">
                  <c:v>3399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50313088"/>
        <c:axId val="350343552"/>
      </c:barChart>
      <c:catAx>
        <c:axId val="350313088"/>
        <c:scaling>
          <c:orientation val="minMax"/>
        </c:scaling>
        <c:axPos val="b"/>
        <c:numFmt formatCode="#,##0" sourceLinked="1"/>
        <c:tickLblPos val="nextTo"/>
        <c:crossAx val="350343552"/>
        <c:crosses val="autoZero"/>
        <c:auto val="1"/>
        <c:lblAlgn val="ctr"/>
        <c:lblOffset val="100"/>
      </c:catAx>
      <c:valAx>
        <c:axId val="350343552"/>
        <c:scaling>
          <c:orientation val="minMax"/>
        </c:scaling>
        <c:axPos val="l"/>
        <c:numFmt formatCode="#,##0" sourceLinked="1"/>
        <c:tickLblPos val="nextTo"/>
        <c:crossAx val="350313088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ist!$G$27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ist!$F$28:$F$39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ist!$G$28:$G$39</c:f>
              <c:numCache>
                <c:formatCode>#,##0</c:formatCode>
                <c:ptCount val="12"/>
                <c:pt idx="0">
                  <c:v>4232</c:v>
                </c:pt>
                <c:pt idx="1">
                  <c:v>4082</c:v>
                </c:pt>
                <c:pt idx="2">
                  <c:v>4800</c:v>
                </c:pt>
                <c:pt idx="3">
                  <c:v>4336</c:v>
                </c:pt>
                <c:pt idx="4">
                  <c:v>4476</c:v>
                </c:pt>
                <c:pt idx="5">
                  <c:v>3669</c:v>
                </c:pt>
                <c:pt idx="6">
                  <c:v>4206</c:v>
                </c:pt>
                <c:pt idx="7">
                  <c:v>3650</c:v>
                </c:pt>
                <c:pt idx="8">
                  <c:v>4142</c:v>
                </c:pt>
                <c:pt idx="9">
                  <c:v>3617</c:v>
                </c:pt>
                <c:pt idx="10">
                  <c:v>5031</c:v>
                </c:pt>
                <c:pt idx="11">
                  <c:v>6503</c:v>
                </c:pt>
              </c:numCache>
            </c:numRef>
          </c:val>
        </c:ser>
        <c:ser>
          <c:idx val="1"/>
          <c:order val="1"/>
          <c:tx>
            <c:strRef>
              <c:f>ist!$H$27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ist!$F$28:$F$39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ist!$H$28:$H$39</c:f>
              <c:numCache>
                <c:formatCode>#,##0</c:formatCode>
                <c:ptCount val="12"/>
                <c:pt idx="0">
                  <c:v>4084</c:v>
                </c:pt>
                <c:pt idx="1">
                  <c:v>4944</c:v>
                </c:pt>
                <c:pt idx="2">
                  <c:v>5255</c:v>
                </c:pt>
                <c:pt idx="3">
                  <c:v>4959</c:v>
                </c:pt>
                <c:pt idx="4">
                  <c:v>4462</c:v>
                </c:pt>
                <c:pt idx="5">
                  <c:v>5924</c:v>
                </c:pt>
                <c:pt idx="6">
                  <c:v>4676</c:v>
                </c:pt>
                <c:pt idx="7">
                  <c:v>4791</c:v>
                </c:pt>
                <c:pt idx="8">
                  <c:v>5182</c:v>
                </c:pt>
                <c:pt idx="9">
                  <c:v>4470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51372416"/>
        <c:axId val="351373952"/>
      </c:barChart>
      <c:catAx>
        <c:axId val="351372416"/>
        <c:scaling>
          <c:orientation val="minMax"/>
        </c:scaling>
        <c:axPos val="b"/>
        <c:numFmt formatCode="#,##0" sourceLinked="1"/>
        <c:tickLblPos val="nextTo"/>
        <c:crossAx val="351373952"/>
        <c:crosses val="autoZero"/>
        <c:auto val="1"/>
        <c:lblAlgn val="ctr"/>
        <c:lblOffset val="100"/>
      </c:catAx>
      <c:valAx>
        <c:axId val="351373952"/>
        <c:scaling>
          <c:orientation val="minMax"/>
        </c:scaling>
        <c:axPos val="l"/>
        <c:numFmt formatCode="#,##0" sourceLinked="1"/>
        <c:tickLblPos val="nextTo"/>
        <c:crossAx val="351372416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ist!$G$48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ist!$F$49:$F$60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ist!$G$49:$G$60</c:f>
              <c:numCache>
                <c:formatCode>#,##0</c:formatCode>
                <c:ptCount val="12"/>
                <c:pt idx="0">
                  <c:v>8298</c:v>
                </c:pt>
                <c:pt idx="1">
                  <c:v>8277</c:v>
                </c:pt>
                <c:pt idx="2">
                  <c:v>9542</c:v>
                </c:pt>
                <c:pt idx="3">
                  <c:v>8751</c:v>
                </c:pt>
                <c:pt idx="4">
                  <c:v>9371</c:v>
                </c:pt>
                <c:pt idx="5">
                  <c:v>8160</c:v>
                </c:pt>
                <c:pt idx="6">
                  <c:v>9034</c:v>
                </c:pt>
                <c:pt idx="7">
                  <c:v>6960</c:v>
                </c:pt>
                <c:pt idx="8">
                  <c:v>8128</c:v>
                </c:pt>
                <c:pt idx="9">
                  <c:v>6737</c:v>
                </c:pt>
                <c:pt idx="10">
                  <c:v>9477</c:v>
                </c:pt>
                <c:pt idx="11">
                  <c:v>11118</c:v>
                </c:pt>
              </c:numCache>
            </c:numRef>
          </c:val>
        </c:ser>
        <c:ser>
          <c:idx val="1"/>
          <c:order val="1"/>
          <c:tx>
            <c:strRef>
              <c:f>ist!$H$48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ist!$F$49:$F$60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ist!$H$49:$H$60</c:f>
              <c:numCache>
                <c:formatCode>#,##0</c:formatCode>
                <c:ptCount val="12"/>
                <c:pt idx="0">
                  <c:v>7644</c:v>
                </c:pt>
                <c:pt idx="1">
                  <c:v>7881</c:v>
                </c:pt>
                <c:pt idx="2">
                  <c:v>8235</c:v>
                </c:pt>
                <c:pt idx="3">
                  <c:v>7567</c:v>
                </c:pt>
                <c:pt idx="4">
                  <c:v>7707</c:v>
                </c:pt>
                <c:pt idx="5">
                  <c:v>9215</c:v>
                </c:pt>
                <c:pt idx="6">
                  <c:v>7917</c:v>
                </c:pt>
                <c:pt idx="7">
                  <c:v>8017</c:v>
                </c:pt>
                <c:pt idx="8">
                  <c:v>9447</c:v>
                </c:pt>
                <c:pt idx="9">
                  <c:v>7869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52836992"/>
        <c:axId val="352838784"/>
      </c:barChart>
      <c:catAx>
        <c:axId val="352836992"/>
        <c:scaling>
          <c:orientation val="minMax"/>
        </c:scaling>
        <c:axPos val="b"/>
        <c:numFmt formatCode="#,##0" sourceLinked="1"/>
        <c:tickLblPos val="nextTo"/>
        <c:crossAx val="352838784"/>
        <c:crosses val="autoZero"/>
        <c:auto val="1"/>
        <c:lblAlgn val="ctr"/>
        <c:lblOffset val="100"/>
      </c:catAx>
      <c:valAx>
        <c:axId val="352838784"/>
        <c:scaling>
          <c:orientation val="minMax"/>
        </c:scaling>
        <c:axPos val="l"/>
        <c:numFmt formatCode="#,##0" sourceLinked="1"/>
        <c:tickLblPos val="nextTo"/>
        <c:crossAx val="352836992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ist!$G$69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ist!$F$70:$F$81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ist!$G$70:$G$81</c:f>
              <c:numCache>
                <c:formatCode>#,##0</c:formatCode>
                <c:ptCount val="12"/>
                <c:pt idx="0">
                  <c:v>4357</c:v>
                </c:pt>
                <c:pt idx="1">
                  <c:v>4641</c:v>
                </c:pt>
                <c:pt idx="2">
                  <c:v>5422</c:v>
                </c:pt>
                <c:pt idx="3">
                  <c:v>5311</c:v>
                </c:pt>
                <c:pt idx="4">
                  <c:v>5910</c:v>
                </c:pt>
                <c:pt idx="5">
                  <c:v>5271</c:v>
                </c:pt>
                <c:pt idx="6">
                  <c:v>5243</c:v>
                </c:pt>
                <c:pt idx="7">
                  <c:v>3524</c:v>
                </c:pt>
                <c:pt idx="8">
                  <c:v>4167</c:v>
                </c:pt>
                <c:pt idx="9">
                  <c:v>3148</c:v>
                </c:pt>
                <c:pt idx="10">
                  <c:v>4420</c:v>
                </c:pt>
                <c:pt idx="11">
                  <c:v>4454</c:v>
                </c:pt>
              </c:numCache>
            </c:numRef>
          </c:val>
        </c:ser>
        <c:ser>
          <c:idx val="1"/>
          <c:order val="1"/>
          <c:tx>
            <c:strRef>
              <c:f>ist!$H$69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ist!$F$70:$F$81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ist!$H$70:$H$81</c:f>
              <c:numCache>
                <c:formatCode>#,##0</c:formatCode>
                <c:ptCount val="12"/>
                <c:pt idx="0">
                  <c:v>3894</c:v>
                </c:pt>
                <c:pt idx="1">
                  <c:v>3081</c:v>
                </c:pt>
                <c:pt idx="2">
                  <c:v>3099</c:v>
                </c:pt>
                <c:pt idx="3">
                  <c:v>3059</c:v>
                </c:pt>
                <c:pt idx="4">
                  <c:v>3807</c:v>
                </c:pt>
                <c:pt idx="5">
                  <c:v>3996</c:v>
                </c:pt>
                <c:pt idx="6">
                  <c:v>3789</c:v>
                </c:pt>
                <c:pt idx="7">
                  <c:v>3756</c:v>
                </c:pt>
                <c:pt idx="8">
                  <c:v>5021</c:v>
                </c:pt>
                <c:pt idx="9">
                  <c:v>3939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56784000"/>
        <c:axId val="356785536"/>
      </c:barChart>
      <c:catAx>
        <c:axId val="356784000"/>
        <c:scaling>
          <c:orientation val="minMax"/>
        </c:scaling>
        <c:axPos val="b"/>
        <c:numFmt formatCode="#,##0" sourceLinked="1"/>
        <c:tickLblPos val="nextTo"/>
        <c:crossAx val="356785536"/>
        <c:crosses val="autoZero"/>
        <c:auto val="1"/>
        <c:lblAlgn val="ctr"/>
        <c:lblOffset val="100"/>
      </c:catAx>
      <c:valAx>
        <c:axId val="356785536"/>
        <c:scaling>
          <c:orientation val="minMax"/>
        </c:scaling>
        <c:axPos val="l"/>
        <c:numFmt formatCode="#,##0" sourceLinked="1"/>
        <c:tickLblPos val="nextTo"/>
        <c:crossAx val="356784000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>
        <c:manualLayout>
          <c:layoutTarget val="inner"/>
          <c:xMode val="edge"/>
          <c:yMode val="edge"/>
          <c:x val="0.15469009792015845"/>
          <c:y val="7.5278834721522983E-2"/>
          <c:w val="0.80636375091859391"/>
          <c:h val="0.54276230965002248"/>
        </c:manualLayout>
      </c:layout>
      <c:barChart>
        <c:barDir val="col"/>
        <c:grouping val="clustered"/>
        <c:ser>
          <c:idx val="0"/>
          <c:order val="0"/>
          <c:tx>
            <c:strRef>
              <c:f>'konut satışları'!$AI$26</c:f>
              <c:strCache>
                <c:ptCount val="1"/>
                <c:pt idx="0">
                  <c:v>Fark %</c:v>
                </c:pt>
              </c:strCache>
            </c:strRef>
          </c:tx>
          <c:dLbls>
            <c:showVal val="1"/>
          </c:dLbls>
          <c:cat>
            <c:strRef>
              <c:f>'konut satışları'!$AE$27:$AE$36</c:f>
              <c:strCache>
                <c:ptCount val="10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  <c:pt idx="6">
                  <c:v>Temmuz</c:v>
                </c:pt>
                <c:pt idx="7">
                  <c:v>Ağustos</c:v>
                </c:pt>
                <c:pt idx="8">
                  <c:v>Eylül</c:v>
                </c:pt>
                <c:pt idx="9">
                  <c:v>Ekim</c:v>
                </c:pt>
              </c:strCache>
            </c:strRef>
          </c:cat>
          <c:val>
            <c:numRef>
              <c:f>'konut satışları'!$AI$27:$AI$36</c:f>
              <c:numCache>
                <c:formatCode>#.#00%</c:formatCode>
                <c:ptCount val="10"/>
                <c:pt idx="0">
                  <c:v>2.2299986276931531E-3</c:v>
                </c:pt>
                <c:pt idx="1">
                  <c:v>-6.6900891334063878E-2</c:v>
                </c:pt>
                <c:pt idx="2">
                  <c:v>-0.10554738862346354</c:v>
                </c:pt>
                <c:pt idx="3">
                  <c:v>-0.12341032281062266</c:v>
                </c:pt>
                <c:pt idx="4">
                  <c:v>-0.12477121081531269</c:v>
                </c:pt>
                <c:pt idx="5">
                  <c:v>-3.6173566746868002E-2</c:v>
                </c:pt>
                <c:pt idx="6">
                  <c:v>-0.20194868524700857</c:v>
                </c:pt>
                <c:pt idx="7">
                  <c:v>0.25028409090909098</c:v>
                </c:pt>
                <c:pt idx="8">
                  <c:v>0.13204927649589374</c:v>
                </c:pt>
                <c:pt idx="9">
                  <c:v>0.25281620035628222</c:v>
                </c:pt>
              </c:numCache>
            </c:numRef>
          </c:val>
        </c:ser>
        <c:axId val="180048256"/>
        <c:axId val="180049792"/>
      </c:barChart>
      <c:catAx>
        <c:axId val="180048256"/>
        <c:scaling>
          <c:orientation val="minMax"/>
        </c:scaling>
        <c:axPos val="b"/>
        <c:tickLblPos val="low"/>
        <c:txPr>
          <a:bodyPr rot="-5400000" vert="horz"/>
          <a:lstStyle/>
          <a:p>
            <a:pPr>
              <a:defRPr/>
            </a:pPr>
            <a:endParaRPr lang="tr-TR"/>
          </a:p>
        </c:txPr>
        <c:crossAx val="180049792"/>
        <c:crosses val="autoZero"/>
        <c:auto val="1"/>
        <c:lblAlgn val="ctr"/>
        <c:lblOffset val="100"/>
      </c:catAx>
      <c:valAx>
        <c:axId val="180049792"/>
        <c:scaling>
          <c:orientation val="minMax"/>
        </c:scaling>
        <c:axPos val="l"/>
        <c:numFmt formatCode="#.#00%" sourceLinked="1"/>
        <c:tickLblPos val="nextTo"/>
        <c:crossAx val="18004825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ist!$G$90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ist!$F$91:$F$102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ist!$G$91:$G$102</c:f>
              <c:numCache>
                <c:formatCode>#,##0</c:formatCode>
                <c:ptCount val="12"/>
                <c:pt idx="0">
                  <c:v>5580</c:v>
                </c:pt>
                <c:pt idx="1">
                  <c:v>6053</c:v>
                </c:pt>
                <c:pt idx="2">
                  <c:v>6606</c:v>
                </c:pt>
                <c:pt idx="3">
                  <c:v>6729</c:v>
                </c:pt>
                <c:pt idx="4">
                  <c:v>6749</c:v>
                </c:pt>
                <c:pt idx="5">
                  <c:v>5926</c:v>
                </c:pt>
                <c:pt idx="6">
                  <c:v>6391</c:v>
                </c:pt>
                <c:pt idx="7">
                  <c:v>4446</c:v>
                </c:pt>
                <c:pt idx="8">
                  <c:v>6219</c:v>
                </c:pt>
                <c:pt idx="9">
                  <c:v>4981</c:v>
                </c:pt>
                <c:pt idx="10">
                  <c:v>7038</c:v>
                </c:pt>
                <c:pt idx="11">
                  <c:v>8350</c:v>
                </c:pt>
              </c:numCache>
            </c:numRef>
          </c:val>
        </c:ser>
        <c:ser>
          <c:idx val="1"/>
          <c:order val="1"/>
          <c:tx>
            <c:strRef>
              <c:f>ist!$H$90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ist!$F$91:$F$102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ist!$H$91:$H$102</c:f>
              <c:numCache>
                <c:formatCode>#,##0</c:formatCode>
                <c:ptCount val="12"/>
                <c:pt idx="0">
                  <c:v>5951</c:v>
                </c:pt>
                <c:pt idx="1">
                  <c:v>6159</c:v>
                </c:pt>
                <c:pt idx="2">
                  <c:v>6384</c:v>
                </c:pt>
                <c:pt idx="3">
                  <c:v>6504</c:v>
                </c:pt>
                <c:pt idx="4">
                  <c:v>6338</c:v>
                </c:pt>
                <c:pt idx="5">
                  <c:v>6041</c:v>
                </c:pt>
                <c:pt idx="6">
                  <c:v>5410</c:v>
                </c:pt>
                <c:pt idx="7">
                  <c:v>5576</c:v>
                </c:pt>
                <c:pt idx="8">
                  <c:v>6455</c:v>
                </c:pt>
                <c:pt idx="9">
                  <c:v>5432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58830464"/>
        <c:axId val="358832000"/>
      </c:barChart>
      <c:catAx>
        <c:axId val="358830464"/>
        <c:scaling>
          <c:orientation val="minMax"/>
        </c:scaling>
        <c:axPos val="b"/>
        <c:numFmt formatCode="#,##0" sourceLinked="1"/>
        <c:tickLblPos val="nextTo"/>
        <c:crossAx val="358832000"/>
        <c:crosses val="autoZero"/>
        <c:auto val="1"/>
        <c:lblAlgn val="ctr"/>
        <c:lblOffset val="100"/>
      </c:catAx>
      <c:valAx>
        <c:axId val="358832000"/>
        <c:scaling>
          <c:orientation val="minMax"/>
        </c:scaling>
        <c:axPos val="l"/>
        <c:numFmt formatCode="#,##0" sourceLinked="1"/>
        <c:tickLblPos val="nextTo"/>
        <c:crossAx val="358830464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ist!$G$111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ist!$F$112:$F$123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ist!$G$112:$G$123</c:f>
              <c:numCache>
                <c:formatCode>#,##0</c:formatCode>
                <c:ptCount val="12"/>
                <c:pt idx="0">
                  <c:v>9937</c:v>
                </c:pt>
                <c:pt idx="1">
                  <c:v>10694</c:v>
                </c:pt>
                <c:pt idx="2">
                  <c:v>12028</c:v>
                </c:pt>
                <c:pt idx="3">
                  <c:v>12040</c:v>
                </c:pt>
                <c:pt idx="4">
                  <c:v>12659</c:v>
                </c:pt>
                <c:pt idx="5">
                  <c:v>11197</c:v>
                </c:pt>
                <c:pt idx="6">
                  <c:v>11634</c:v>
                </c:pt>
                <c:pt idx="7">
                  <c:v>7970</c:v>
                </c:pt>
                <c:pt idx="8">
                  <c:v>10386</c:v>
                </c:pt>
                <c:pt idx="9">
                  <c:v>8129</c:v>
                </c:pt>
                <c:pt idx="10">
                  <c:v>11458</c:v>
                </c:pt>
                <c:pt idx="11">
                  <c:v>12804</c:v>
                </c:pt>
              </c:numCache>
            </c:numRef>
          </c:val>
        </c:ser>
        <c:ser>
          <c:idx val="1"/>
          <c:order val="1"/>
          <c:tx>
            <c:strRef>
              <c:f>ist!$H$111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ist!$F$112:$F$123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ist!$H$112:$H$123</c:f>
              <c:numCache>
                <c:formatCode>#,##0</c:formatCode>
                <c:ptCount val="12"/>
                <c:pt idx="0">
                  <c:v>9845</c:v>
                </c:pt>
                <c:pt idx="1">
                  <c:v>9240</c:v>
                </c:pt>
                <c:pt idx="2">
                  <c:v>9483</c:v>
                </c:pt>
                <c:pt idx="3">
                  <c:v>9563</c:v>
                </c:pt>
                <c:pt idx="4">
                  <c:v>10145</c:v>
                </c:pt>
                <c:pt idx="5">
                  <c:v>10037</c:v>
                </c:pt>
                <c:pt idx="6">
                  <c:v>9199</c:v>
                </c:pt>
                <c:pt idx="7">
                  <c:v>9332</c:v>
                </c:pt>
                <c:pt idx="8">
                  <c:v>11476</c:v>
                </c:pt>
                <c:pt idx="9">
                  <c:v>9371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59266944"/>
        <c:axId val="360292736"/>
      </c:barChart>
      <c:catAx>
        <c:axId val="359266944"/>
        <c:scaling>
          <c:orientation val="minMax"/>
        </c:scaling>
        <c:axPos val="b"/>
        <c:numFmt formatCode="#,##0" sourceLinked="1"/>
        <c:tickLblPos val="nextTo"/>
        <c:crossAx val="360292736"/>
        <c:crosses val="autoZero"/>
        <c:auto val="1"/>
        <c:lblAlgn val="ctr"/>
        <c:lblOffset val="100"/>
      </c:catAx>
      <c:valAx>
        <c:axId val="360292736"/>
        <c:scaling>
          <c:orientation val="minMax"/>
        </c:scaling>
        <c:axPos val="l"/>
        <c:numFmt formatCode="#,##0" sourceLinked="1"/>
        <c:tickLblPos val="nextTo"/>
        <c:crossAx val="359266944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ist!$G$132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ist!$F$133:$F$144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ist!$G$133:$G$144</c:f>
              <c:numCache>
                <c:formatCode>#,##0</c:formatCode>
                <c:ptCount val="12"/>
                <c:pt idx="0">
                  <c:v>18235</c:v>
                </c:pt>
                <c:pt idx="1">
                  <c:v>18971</c:v>
                </c:pt>
                <c:pt idx="2">
                  <c:v>21570</c:v>
                </c:pt>
                <c:pt idx="3">
                  <c:v>20791</c:v>
                </c:pt>
                <c:pt idx="4">
                  <c:v>22030</c:v>
                </c:pt>
                <c:pt idx="5">
                  <c:v>19357</c:v>
                </c:pt>
                <c:pt idx="6">
                  <c:v>20668</c:v>
                </c:pt>
                <c:pt idx="7">
                  <c:v>14930</c:v>
                </c:pt>
                <c:pt idx="8">
                  <c:v>18514</c:v>
                </c:pt>
                <c:pt idx="9">
                  <c:v>14866</c:v>
                </c:pt>
                <c:pt idx="10">
                  <c:v>20935</c:v>
                </c:pt>
                <c:pt idx="11">
                  <c:v>23922</c:v>
                </c:pt>
              </c:numCache>
            </c:numRef>
          </c:val>
        </c:ser>
        <c:ser>
          <c:idx val="1"/>
          <c:order val="1"/>
          <c:tx>
            <c:strRef>
              <c:f>ist!$H$132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ist!$F$133:$F$144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ist!$H$133:$H$144</c:f>
              <c:numCache>
                <c:formatCode>#,##0</c:formatCode>
                <c:ptCount val="12"/>
                <c:pt idx="0">
                  <c:v>17489</c:v>
                </c:pt>
                <c:pt idx="1">
                  <c:v>17121</c:v>
                </c:pt>
                <c:pt idx="2">
                  <c:v>17718</c:v>
                </c:pt>
                <c:pt idx="3">
                  <c:v>17130</c:v>
                </c:pt>
                <c:pt idx="4">
                  <c:v>17852</c:v>
                </c:pt>
                <c:pt idx="5">
                  <c:v>19252</c:v>
                </c:pt>
                <c:pt idx="6">
                  <c:v>17116</c:v>
                </c:pt>
                <c:pt idx="7">
                  <c:v>17349</c:v>
                </c:pt>
                <c:pt idx="8">
                  <c:v>20923</c:v>
                </c:pt>
                <c:pt idx="9">
                  <c:v>17240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61682048"/>
        <c:axId val="361683584"/>
      </c:barChart>
      <c:catAx>
        <c:axId val="361682048"/>
        <c:scaling>
          <c:orientation val="minMax"/>
        </c:scaling>
        <c:axPos val="b"/>
        <c:numFmt formatCode="#,##0" sourceLinked="1"/>
        <c:tickLblPos val="nextTo"/>
        <c:crossAx val="361683584"/>
        <c:crosses val="autoZero"/>
        <c:auto val="1"/>
        <c:lblAlgn val="ctr"/>
        <c:lblOffset val="100"/>
      </c:catAx>
      <c:valAx>
        <c:axId val="361683584"/>
        <c:scaling>
          <c:orientation val="minMax"/>
        </c:scaling>
        <c:axPos val="l"/>
        <c:numFmt formatCode="#,##0" sourceLinked="1"/>
        <c:tickLblPos val="nextTo"/>
        <c:crossAx val="361682048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'konut satışları'!$AN$26</c:f>
              <c:strCache>
                <c:ptCount val="1"/>
                <c:pt idx="0">
                  <c:v>Fark</c:v>
                </c:pt>
              </c:strCache>
            </c:strRef>
          </c:tx>
          <c:dLbls>
            <c:showVal val="1"/>
          </c:dLbls>
          <c:cat>
            <c:strRef>
              <c:f>'konut satışları'!$AK$27:$AK$36</c:f>
              <c:strCache>
                <c:ptCount val="10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  <c:pt idx="6">
                  <c:v>Temmuz</c:v>
                </c:pt>
                <c:pt idx="7">
                  <c:v>Ağustos</c:v>
                </c:pt>
                <c:pt idx="8">
                  <c:v>Eylül</c:v>
                </c:pt>
                <c:pt idx="9">
                  <c:v>Ekim</c:v>
                </c:pt>
              </c:strCache>
            </c:strRef>
          </c:cat>
          <c:val>
            <c:numRef>
              <c:f>'konut satışları'!$AN$27:$AN$36</c:f>
              <c:numCache>
                <c:formatCode>#,##0</c:formatCode>
                <c:ptCount val="10"/>
                <c:pt idx="0">
                  <c:v>-746</c:v>
                </c:pt>
                <c:pt idx="1">
                  <c:v>-1850</c:v>
                </c:pt>
                <c:pt idx="2">
                  <c:v>-3852</c:v>
                </c:pt>
                <c:pt idx="3">
                  <c:v>-3661</c:v>
                </c:pt>
                <c:pt idx="4">
                  <c:v>-4178</c:v>
                </c:pt>
                <c:pt idx="5">
                  <c:v>-105</c:v>
                </c:pt>
                <c:pt idx="6">
                  <c:v>-3552</c:v>
                </c:pt>
                <c:pt idx="7">
                  <c:v>2419</c:v>
                </c:pt>
                <c:pt idx="8">
                  <c:v>2409</c:v>
                </c:pt>
                <c:pt idx="9">
                  <c:v>2374</c:v>
                </c:pt>
              </c:numCache>
            </c:numRef>
          </c:val>
        </c:ser>
        <c:axId val="289498624"/>
        <c:axId val="289500160"/>
      </c:barChart>
      <c:catAx>
        <c:axId val="289498624"/>
        <c:scaling>
          <c:orientation val="minMax"/>
        </c:scaling>
        <c:axPos val="b"/>
        <c:tickLblPos val="low"/>
        <c:txPr>
          <a:bodyPr rot="-5400000" vert="horz"/>
          <a:lstStyle/>
          <a:p>
            <a:pPr>
              <a:defRPr/>
            </a:pPr>
            <a:endParaRPr lang="tr-TR"/>
          </a:p>
        </c:txPr>
        <c:crossAx val="289500160"/>
        <c:crosses val="autoZero"/>
        <c:auto val="1"/>
        <c:lblAlgn val="ctr"/>
        <c:lblOffset val="100"/>
      </c:catAx>
      <c:valAx>
        <c:axId val="289500160"/>
        <c:scaling>
          <c:orientation val="minMax"/>
        </c:scaling>
        <c:axPos val="l"/>
        <c:numFmt formatCode="#,##0" sourceLinked="1"/>
        <c:tickLblPos val="nextTo"/>
        <c:crossAx val="28949862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'konut satışları'!$AO$26</c:f>
              <c:strCache>
                <c:ptCount val="1"/>
                <c:pt idx="0">
                  <c:v>Fark %</c:v>
                </c:pt>
              </c:strCache>
            </c:strRef>
          </c:tx>
          <c:dLbls>
            <c:showVal val="1"/>
          </c:dLbls>
          <c:cat>
            <c:strRef>
              <c:f>'konut satışları'!$AK$27:$AK$36</c:f>
              <c:strCache>
                <c:ptCount val="10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  <c:pt idx="6">
                  <c:v>Temmuz</c:v>
                </c:pt>
                <c:pt idx="7">
                  <c:v>Ağustos</c:v>
                </c:pt>
                <c:pt idx="8">
                  <c:v>Eylül</c:v>
                </c:pt>
                <c:pt idx="9">
                  <c:v>Ekim</c:v>
                </c:pt>
              </c:strCache>
            </c:strRef>
          </c:cat>
          <c:val>
            <c:numRef>
              <c:f>'konut satışları'!$AO$27:$AO$36</c:f>
              <c:numCache>
                <c:formatCode>#.#00%</c:formatCode>
                <c:ptCount val="10"/>
                <c:pt idx="0">
                  <c:v>-4.0910337263504265E-2</c:v>
                </c:pt>
                <c:pt idx="1">
                  <c:v>-9.7517263191186573E-2</c:v>
                </c:pt>
                <c:pt idx="2">
                  <c:v>-0.17858136300417246</c:v>
                </c:pt>
                <c:pt idx="3">
                  <c:v>-0.1760858063585205</c:v>
                </c:pt>
                <c:pt idx="4">
                  <c:v>-0.18965047662278711</c:v>
                </c:pt>
                <c:pt idx="5">
                  <c:v>-5.4243942759725173E-3</c:v>
                </c:pt>
                <c:pt idx="6">
                  <c:v>-0.17185988000774144</c:v>
                </c:pt>
                <c:pt idx="7">
                  <c:v>0.16202277294038839</c:v>
                </c:pt>
                <c:pt idx="8">
                  <c:v>0.13011774873069029</c:v>
                </c:pt>
                <c:pt idx="9">
                  <c:v>0.15969325978743454</c:v>
                </c:pt>
              </c:numCache>
            </c:numRef>
          </c:val>
        </c:ser>
        <c:axId val="289507968"/>
        <c:axId val="289632640"/>
      </c:barChart>
      <c:catAx>
        <c:axId val="289507968"/>
        <c:scaling>
          <c:orientation val="minMax"/>
        </c:scaling>
        <c:axPos val="b"/>
        <c:tickLblPos val="low"/>
        <c:txPr>
          <a:bodyPr rot="-5400000" vert="horz"/>
          <a:lstStyle/>
          <a:p>
            <a:pPr>
              <a:defRPr/>
            </a:pPr>
            <a:endParaRPr lang="tr-TR"/>
          </a:p>
        </c:txPr>
        <c:crossAx val="289632640"/>
        <c:crosses val="autoZero"/>
        <c:auto val="1"/>
        <c:lblAlgn val="ctr"/>
        <c:lblOffset val="100"/>
      </c:catAx>
      <c:valAx>
        <c:axId val="289632640"/>
        <c:scaling>
          <c:orientation val="minMax"/>
        </c:scaling>
        <c:axPos val="l"/>
        <c:numFmt formatCode="#.#00%" sourceLinked="1"/>
        <c:tickLblPos val="nextTo"/>
        <c:crossAx val="289507968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'konut satışları'!$AW$10</c:f>
              <c:strCache>
                <c:ptCount val="1"/>
                <c:pt idx="0">
                  <c:v>Türkiye'de İpotekli Satışların Payı (%)</c:v>
                </c:pt>
              </c:strCache>
            </c:strRef>
          </c:tx>
          <c:dLbls>
            <c:showVal val="1"/>
          </c:dLbls>
          <c:cat>
            <c:numRef>
              <c:f>'konut satışları'!$AV$11:$AV$32</c:f>
              <c:numCache>
                <c:formatCode>[$-41F]\m\m\m\m\ yy;@</c:formatCode>
                <c:ptCount val="22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</c:numCache>
            </c:numRef>
          </c:cat>
          <c:val>
            <c:numRef>
              <c:f>'konut satışları'!$AW$11:$AW$32</c:f>
              <c:numCache>
                <c:formatCode>#,##0</c:formatCode>
                <c:ptCount val="22"/>
                <c:pt idx="0">
                  <c:v>41.833630666483678</c:v>
                </c:pt>
                <c:pt idx="1">
                  <c:v>41.968390966911073</c:v>
                </c:pt>
                <c:pt idx="2">
                  <c:v>42.681407979092626</c:v>
                </c:pt>
                <c:pt idx="3">
                  <c:v>42.788396011784322</c:v>
                </c:pt>
                <c:pt idx="4">
                  <c:v>43.840365675327547</c:v>
                </c:pt>
                <c:pt idx="5">
                  <c:v>45.386003484609617</c:v>
                </c:pt>
                <c:pt idx="6">
                  <c:v>43.187103792340295</c:v>
                </c:pt>
                <c:pt idx="7">
                  <c:v>37.356770833333321</c:v>
                </c:pt>
                <c:pt idx="8">
                  <c:v>36.991591709034005</c:v>
                </c:pt>
                <c:pt idx="9">
                  <c:v>34.497799434140205</c:v>
                </c:pt>
                <c:pt idx="10">
                  <c:v>35.64437432436381</c:v>
                </c:pt>
                <c:pt idx="11">
                  <c:v>31.388620189318033</c:v>
                </c:pt>
                <c:pt idx="12">
                  <c:v>36.565912436244133</c:v>
                </c:pt>
                <c:pt idx="13">
                  <c:v>29.128176568156228</c:v>
                </c:pt>
                <c:pt idx="14">
                  <c:v>27.922663410068822</c:v>
                </c:pt>
                <c:pt idx="15">
                  <c:v>28.043296256428651</c:v>
                </c:pt>
                <c:pt idx="16">
                  <c:v>32.928731867621188</c:v>
                </c:pt>
                <c:pt idx="17">
                  <c:v>34.463501764655248</c:v>
                </c:pt>
                <c:pt idx="18">
                  <c:v>36.323897486516003</c:v>
                </c:pt>
                <c:pt idx="19">
                  <c:v>33.456411421646557</c:v>
                </c:pt>
                <c:pt idx="20">
                  <c:v>37.261845128081134</c:v>
                </c:pt>
                <c:pt idx="21">
                  <c:v>36.019656019655997</c:v>
                </c:pt>
              </c:numCache>
            </c:numRef>
          </c:val>
        </c:ser>
        <c:gapWidth val="75"/>
        <c:overlap val="-25"/>
        <c:axId val="295170816"/>
        <c:axId val="295172352"/>
      </c:barChart>
      <c:dateAx>
        <c:axId val="295170816"/>
        <c:scaling>
          <c:orientation val="minMax"/>
        </c:scaling>
        <c:axPos val="b"/>
        <c:numFmt formatCode="[$-41F]\m\m\m\m\ yy;@" sourceLinked="1"/>
        <c:majorTickMark val="none"/>
        <c:tickLblPos val="nextTo"/>
        <c:txPr>
          <a:bodyPr rot="-5400000" vert="horz"/>
          <a:lstStyle/>
          <a:p>
            <a:pPr>
              <a:defRPr/>
            </a:pPr>
            <a:endParaRPr lang="tr-TR"/>
          </a:p>
        </c:txPr>
        <c:crossAx val="295172352"/>
        <c:crosses val="autoZero"/>
        <c:auto val="1"/>
        <c:lblOffset val="100"/>
        <c:baseTimeUnit val="months"/>
        <c:majorUnit val="1"/>
        <c:majorTimeUnit val="months"/>
      </c:dateAx>
      <c:valAx>
        <c:axId val="295172352"/>
        <c:scaling>
          <c:orientation val="minMax"/>
        </c:scaling>
        <c:axPos val="l"/>
        <c:numFmt formatCode="#,##0" sourceLinked="1"/>
        <c:majorTickMark val="none"/>
        <c:tickLblPos val="nextTo"/>
        <c:spPr>
          <a:ln w="9525">
            <a:noFill/>
          </a:ln>
        </c:spPr>
        <c:crossAx val="29517081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>
        <c:manualLayout>
          <c:layoutTarget val="inner"/>
          <c:xMode val="edge"/>
          <c:yMode val="edge"/>
          <c:x val="7.798380836198289E-2"/>
          <c:y val="4.2141294838145271E-2"/>
          <c:w val="0.88445750619200758"/>
          <c:h val="0.55802238261883952"/>
        </c:manualLayout>
      </c:layout>
      <c:barChart>
        <c:barDir val="col"/>
        <c:grouping val="clustered"/>
        <c:ser>
          <c:idx val="0"/>
          <c:order val="0"/>
          <c:tx>
            <c:strRef>
              <c:f>'konut satışları'!$BE$10</c:f>
              <c:strCache>
                <c:ptCount val="1"/>
                <c:pt idx="0">
                  <c:v>İstanbul'da İpotekli Satışların Payı (%)</c:v>
                </c:pt>
              </c:strCache>
            </c:strRef>
          </c:tx>
          <c:dLbls>
            <c:showVal val="1"/>
          </c:dLbls>
          <c:cat>
            <c:numRef>
              <c:f>'konut satışları'!$BD$11:$BD$32</c:f>
              <c:numCache>
                <c:formatCode>[$-41F]\m\m\m\m\ yy;@</c:formatCode>
                <c:ptCount val="22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</c:numCache>
            </c:numRef>
          </c:cat>
          <c:val>
            <c:numRef>
              <c:f>'konut satışları'!$BE$11:$BE$32</c:f>
              <c:numCache>
                <c:formatCode>#,##0</c:formatCode>
                <c:ptCount val="22"/>
                <c:pt idx="0">
                  <c:v>46.191390183712628</c:v>
                </c:pt>
                <c:pt idx="1">
                  <c:v>46.576353381477006</c:v>
                </c:pt>
                <c:pt idx="2">
                  <c:v>47.121001390820581</c:v>
                </c:pt>
                <c:pt idx="3">
                  <c:v>46.779856668750902</c:v>
                </c:pt>
                <c:pt idx="4">
                  <c:v>49.046754425783007</c:v>
                </c:pt>
                <c:pt idx="5">
                  <c:v>50.431368497184465</c:v>
                </c:pt>
                <c:pt idx="6">
                  <c:v>48.727501451519245</c:v>
                </c:pt>
                <c:pt idx="7">
                  <c:v>45.773610180843939</c:v>
                </c:pt>
                <c:pt idx="8">
                  <c:v>44.036945014583559</c:v>
                </c:pt>
                <c:pt idx="9">
                  <c:v>42.163325709673082</c:v>
                </c:pt>
                <c:pt idx="10">
                  <c:v>42.350131358968234</c:v>
                </c:pt>
                <c:pt idx="11">
                  <c:v>37.910709806872326</c:v>
                </c:pt>
                <c:pt idx="12">
                  <c:v>42.621076104980268</c:v>
                </c:pt>
                <c:pt idx="13">
                  <c:v>35.149816015419646</c:v>
                </c:pt>
                <c:pt idx="14">
                  <c:v>34.309741505813264</c:v>
                </c:pt>
                <c:pt idx="15">
                  <c:v>33.082311733800353</c:v>
                </c:pt>
                <c:pt idx="16">
                  <c:v>39.502576742101766</c:v>
                </c:pt>
                <c:pt idx="17">
                  <c:v>37.850612923332619</c:v>
                </c:pt>
                <c:pt idx="18">
                  <c:v>41.072680532834781</c:v>
                </c:pt>
                <c:pt idx="19">
                  <c:v>40.24439448959594</c:v>
                </c:pt>
                <c:pt idx="20">
                  <c:v>44.381780815370625</c:v>
                </c:pt>
                <c:pt idx="21">
                  <c:v>42.563805104408353</c:v>
                </c:pt>
              </c:numCache>
            </c:numRef>
          </c:val>
        </c:ser>
        <c:gapWidth val="75"/>
        <c:overlap val="-25"/>
        <c:axId val="296892288"/>
        <c:axId val="296893824"/>
      </c:barChart>
      <c:dateAx>
        <c:axId val="296892288"/>
        <c:scaling>
          <c:orientation val="minMax"/>
        </c:scaling>
        <c:axPos val="b"/>
        <c:numFmt formatCode="[$-41F]\m\m\m\m\ yy;@" sourceLinked="1"/>
        <c:majorTickMark val="none"/>
        <c:tickLblPos val="nextTo"/>
        <c:txPr>
          <a:bodyPr rot="-5400000" vert="horz"/>
          <a:lstStyle/>
          <a:p>
            <a:pPr>
              <a:defRPr/>
            </a:pPr>
            <a:endParaRPr lang="tr-TR"/>
          </a:p>
        </c:txPr>
        <c:crossAx val="296893824"/>
        <c:crosses val="autoZero"/>
        <c:auto val="1"/>
        <c:lblOffset val="100"/>
        <c:baseTimeUnit val="months"/>
        <c:majorUnit val="1"/>
        <c:majorTimeUnit val="months"/>
      </c:dateAx>
      <c:valAx>
        <c:axId val="296893824"/>
        <c:scaling>
          <c:orientation val="minMax"/>
        </c:scaling>
        <c:axPos val="l"/>
        <c:numFmt formatCode="#,##0" sourceLinked="1"/>
        <c:majorTickMark val="none"/>
        <c:tickLblPos val="nextTo"/>
        <c:spPr>
          <a:ln w="9525">
            <a:noFill/>
          </a:ln>
        </c:spPr>
        <c:crossAx val="296892288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'konut satışları'!$BM$10</c:f>
              <c:strCache>
                <c:ptCount val="1"/>
                <c:pt idx="0">
                  <c:v>Tükiye'de Birinci El Satışların Payı (%)</c:v>
                </c:pt>
              </c:strCache>
            </c:strRef>
          </c:tx>
          <c:dLbls>
            <c:showVal val="1"/>
          </c:dLbls>
          <c:cat>
            <c:numRef>
              <c:f>'konut satışları'!$BL$11:$BL$32</c:f>
              <c:numCache>
                <c:formatCode>[$-41F]\m\m\m\m\ yy;@</c:formatCode>
                <c:ptCount val="22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 formatCode="\m\m\m\-yy">
                  <c:v>41791</c:v>
                </c:pt>
                <c:pt idx="18">
                  <c:v>41821</c:v>
                </c:pt>
                <c:pt idx="19" formatCode="\m\m\m\-yy">
                  <c:v>41852</c:v>
                </c:pt>
                <c:pt idx="20">
                  <c:v>41883</c:v>
                </c:pt>
                <c:pt idx="21" formatCode="\m\m\m\-yy">
                  <c:v>41913</c:v>
                </c:pt>
              </c:numCache>
            </c:numRef>
          </c:cat>
          <c:val>
            <c:numRef>
              <c:f>'konut satışları'!$BM$11:$BM$32</c:f>
              <c:numCache>
                <c:formatCode>#,##0</c:formatCode>
                <c:ptCount val="22"/>
                <c:pt idx="0">
                  <c:v>44.786377567357377</c:v>
                </c:pt>
                <c:pt idx="1">
                  <c:v>44.64691196240355</c:v>
                </c:pt>
                <c:pt idx="2">
                  <c:v>43.950345052880884</c:v>
                </c:pt>
                <c:pt idx="3">
                  <c:v>43.229783709543831</c:v>
                </c:pt>
                <c:pt idx="4">
                  <c:v>44.594764722402445</c:v>
                </c:pt>
                <c:pt idx="5">
                  <c:v>44.952501451920654</c:v>
                </c:pt>
                <c:pt idx="6">
                  <c:v>46.16077122172625</c:v>
                </c:pt>
                <c:pt idx="7">
                  <c:v>45.948153409090907</c:v>
                </c:pt>
                <c:pt idx="8">
                  <c:v>45.735236605396949</c:v>
                </c:pt>
                <c:pt idx="9">
                  <c:v>46.320601488001664</c:v>
                </c:pt>
                <c:pt idx="10">
                  <c:v>46.995062377655067</c:v>
                </c:pt>
                <c:pt idx="11">
                  <c:v>50.37742693290955</c:v>
                </c:pt>
                <c:pt idx="12">
                  <c:v>45.818642385239436</c:v>
                </c:pt>
                <c:pt idx="13">
                  <c:v>46.096105185418359</c:v>
                </c:pt>
                <c:pt idx="14">
                  <c:v>47.916500222559563</c:v>
                </c:pt>
                <c:pt idx="15">
                  <c:v>44.916875971773706</c:v>
                </c:pt>
                <c:pt idx="16">
                  <c:v>45.870077563981972</c:v>
                </c:pt>
                <c:pt idx="17">
                  <c:v>45.859516226220201</c:v>
                </c:pt>
                <c:pt idx="18">
                  <c:v>46.266201337234577</c:v>
                </c:pt>
                <c:pt idx="19">
                  <c:v>46.228129970461275</c:v>
                </c:pt>
                <c:pt idx="20">
                  <c:v>45.807783324408831</c:v>
                </c:pt>
                <c:pt idx="21">
                  <c:v>46.525171206022286</c:v>
                </c:pt>
              </c:numCache>
            </c:numRef>
          </c:val>
        </c:ser>
        <c:gapWidth val="75"/>
        <c:overlap val="-25"/>
        <c:axId val="295136256"/>
        <c:axId val="301753088"/>
      </c:barChart>
      <c:dateAx>
        <c:axId val="295136256"/>
        <c:scaling>
          <c:orientation val="minMax"/>
        </c:scaling>
        <c:axPos val="b"/>
        <c:numFmt formatCode="[$-41F]\m\m\m\m\ yy;@" sourceLinked="1"/>
        <c:majorTickMark val="none"/>
        <c:tickLblPos val="nextTo"/>
        <c:txPr>
          <a:bodyPr rot="-5400000" vert="horz"/>
          <a:lstStyle/>
          <a:p>
            <a:pPr>
              <a:defRPr/>
            </a:pPr>
            <a:endParaRPr lang="tr-TR"/>
          </a:p>
        </c:txPr>
        <c:crossAx val="301753088"/>
        <c:crosses val="autoZero"/>
        <c:auto val="1"/>
        <c:lblOffset val="100"/>
        <c:baseTimeUnit val="months"/>
        <c:majorUnit val="1"/>
        <c:majorTimeUnit val="months"/>
      </c:dateAx>
      <c:valAx>
        <c:axId val="301753088"/>
        <c:scaling>
          <c:orientation val="minMax"/>
        </c:scaling>
        <c:axPos val="l"/>
        <c:numFmt formatCode="#,##0" sourceLinked="1"/>
        <c:majorTickMark val="none"/>
        <c:tickLblPos val="nextTo"/>
        <c:spPr>
          <a:ln w="9525">
            <a:noFill/>
          </a:ln>
        </c:spPr>
        <c:crossAx val="29513625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'konut satışları'!$BU$10</c:f>
              <c:strCache>
                <c:ptCount val="1"/>
                <c:pt idx="0">
                  <c:v>İstanbul'da Birinci El Satışların Payı (%)</c:v>
                </c:pt>
              </c:strCache>
            </c:strRef>
          </c:tx>
          <c:dLbls>
            <c:showVal val="1"/>
          </c:dLbls>
          <c:cat>
            <c:numRef>
              <c:f>'konut satışları'!$BT$11:$BT$32</c:f>
              <c:numCache>
                <c:formatCode>[$-41F]\m\m\m\m\ yy;@</c:formatCode>
                <c:ptCount val="22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 formatCode="\m\m\m\-yy">
                  <c:v>41791</c:v>
                </c:pt>
                <c:pt idx="18">
                  <c:v>41821</c:v>
                </c:pt>
                <c:pt idx="19" formatCode="\m\m\m\-yy">
                  <c:v>41852</c:v>
                </c:pt>
                <c:pt idx="20">
                  <c:v>41883</c:v>
                </c:pt>
                <c:pt idx="21" formatCode="\m\m\m\-yy">
                  <c:v>41913</c:v>
                </c:pt>
              </c:numCache>
            </c:numRef>
          </c:cat>
          <c:val>
            <c:numRef>
              <c:f>'konut satışları'!$BU$11:$BU$32</c:f>
              <c:numCache>
                <c:formatCode>#,##0</c:formatCode>
                <c:ptCount val="22"/>
                <c:pt idx="0">
                  <c:v>45.505895256375112</c:v>
                </c:pt>
                <c:pt idx="1">
                  <c:v>43.629750672078458</c:v>
                </c:pt>
                <c:pt idx="2">
                  <c:v>44.237366713027356</c:v>
                </c:pt>
                <c:pt idx="3">
                  <c:v>42.090327545572606</c:v>
                </c:pt>
                <c:pt idx="4">
                  <c:v>42.537448933272806</c:v>
                </c:pt>
                <c:pt idx="5">
                  <c:v>42.155292658986404</c:v>
                </c:pt>
                <c:pt idx="6">
                  <c:v>43.71008322043739</c:v>
                </c:pt>
                <c:pt idx="7">
                  <c:v>46.617548559946385</c:v>
                </c:pt>
                <c:pt idx="8">
                  <c:v>43.901912066544234</c:v>
                </c:pt>
                <c:pt idx="9">
                  <c:v>45.31817570294632</c:v>
                </c:pt>
                <c:pt idx="10">
                  <c:v>45.268688798662524</c:v>
                </c:pt>
                <c:pt idx="11">
                  <c:v>46.476047153248018</c:v>
                </c:pt>
                <c:pt idx="12">
                  <c:v>43.707473268911905</c:v>
                </c:pt>
                <c:pt idx="13">
                  <c:v>46.031189766952856</c:v>
                </c:pt>
                <c:pt idx="14">
                  <c:v>46.4781578056214</c:v>
                </c:pt>
                <c:pt idx="15">
                  <c:v>44.173963806187992</c:v>
                </c:pt>
                <c:pt idx="16">
                  <c:v>43.171633430427967</c:v>
                </c:pt>
                <c:pt idx="17">
                  <c:v>47.865156866819042</c:v>
                </c:pt>
                <c:pt idx="18">
                  <c:v>46.254966113577936</c:v>
                </c:pt>
                <c:pt idx="19">
                  <c:v>46.210156204968605</c:v>
                </c:pt>
                <c:pt idx="20">
                  <c:v>45.151268938488755</c:v>
                </c:pt>
                <c:pt idx="21">
                  <c:v>45.643851508120648</c:v>
                </c:pt>
              </c:numCache>
            </c:numRef>
          </c:val>
        </c:ser>
        <c:gapWidth val="75"/>
        <c:overlap val="-25"/>
        <c:axId val="307241344"/>
        <c:axId val="307242880"/>
      </c:barChart>
      <c:dateAx>
        <c:axId val="307241344"/>
        <c:scaling>
          <c:orientation val="minMax"/>
        </c:scaling>
        <c:axPos val="b"/>
        <c:numFmt formatCode="[$-41F]\m\m\m\m\ yy;@" sourceLinked="1"/>
        <c:majorTickMark val="none"/>
        <c:tickLblPos val="nextTo"/>
        <c:txPr>
          <a:bodyPr rot="-5400000" vert="horz"/>
          <a:lstStyle/>
          <a:p>
            <a:pPr>
              <a:defRPr/>
            </a:pPr>
            <a:endParaRPr lang="tr-TR"/>
          </a:p>
        </c:txPr>
        <c:crossAx val="307242880"/>
        <c:crosses val="autoZero"/>
        <c:auto val="1"/>
        <c:lblOffset val="100"/>
        <c:baseTimeUnit val="months"/>
        <c:majorUnit val="1"/>
        <c:majorTimeUnit val="months"/>
      </c:dateAx>
      <c:valAx>
        <c:axId val="307242880"/>
        <c:scaling>
          <c:orientation val="minMax"/>
        </c:scaling>
        <c:axPos val="l"/>
        <c:numFmt formatCode="#,##0" sourceLinked="1"/>
        <c:majorTickMark val="none"/>
        <c:tickLblPos val="nextTo"/>
        <c:spPr>
          <a:ln w="9525">
            <a:noFill/>
          </a:ln>
        </c:spPr>
        <c:crossAx val="30724134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tr!$G$6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tr!$F$7:$F$18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tr!$G$7:$G$18</c:f>
              <c:numCache>
                <c:formatCode>#,##0</c:formatCode>
                <c:ptCount val="12"/>
                <c:pt idx="0">
                  <c:v>16199</c:v>
                </c:pt>
                <c:pt idx="1">
                  <c:v>16184</c:v>
                </c:pt>
                <c:pt idx="2">
                  <c:v>17682</c:v>
                </c:pt>
                <c:pt idx="3">
                  <c:v>16918</c:v>
                </c:pt>
                <c:pt idx="4">
                  <c:v>19286</c:v>
                </c:pt>
                <c:pt idx="5">
                  <c:v>19178</c:v>
                </c:pt>
                <c:pt idx="6">
                  <c:v>20928</c:v>
                </c:pt>
                <c:pt idx="7">
                  <c:v>14243</c:v>
                </c:pt>
                <c:pt idx="8">
                  <c:v>17075</c:v>
                </c:pt>
                <c:pt idx="9">
                  <c:v>11863</c:v>
                </c:pt>
                <c:pt idx="10">
                  <c:v>16956</c:v>
                </c:pt>
                <c:pt idx="11">
                  <c:v>17443</c:v>
                </c:pt>
              </c:numCache>
            </c:numRef>
          </c:val>
        </c:ser>
        <c:ser>
          <c:idx val="1"/>
          <c:order val="1"/>
          <c:tx>
            <c:strRef>
              <c:f>tr!$H$6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showVal val="1"/>
          </c:dLbls>
          <c:cat>
            <c:numRef>
              <c:f>tr!$F$7:$F$18</c:f>
              <c:numCache>
                <c:formatCode>#,##0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tr!$H$7:$H$18</c:f>
              <c:numCache>
                <c:formatCode>#,##0</c:formatCode>
                <c:ptCount val="12"/>
                <c:pt idx="0">
                  <c:v>14759</c:v>
                </c:pt>
                <c:pt idx="1">
                  <c:v>10803</c:v>
                </c:pt>
                <c:pt idx="2">
                  <c:v>10955</c:v>
                </c:pt>
                <c:pt idx="3">
                  <c:v>10144</c:v>
                </c:pt>
                <c:pt idx="4">
                  <c:v>13124</c:v>
                </c:pt>
                <c:pt idx="5">
                  <c:v>13791</c:v>
                </c:pt>
                <c:pt idx="6">
                  <c:v>13831</c:v>
                </c:pt>
                <c:pt idx="7">
                  <c:v>15492</c:v>
                </c:pt>
                <c:pt idx="8">
                  <c:v>18679</c:v>
                </c:pt>
                <c:pt idx="9">
                  <c:v>15176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317507456"/>
        <c:axId val="317508992"/>
      </c:barChart>
      <c:catAx>
        <c:axId val="317507456"/>
        <c:scaling>
          <c:orientation val="minMax"/>
        </c:scaling>
        <c:axPos val="b"/>
        <c:numFmt formatCode="#,##0" sourceLinked="1"/>
        <c:tickLblPos val="nextTo"/>
        <c:crossAx val="317508992"/>
        <c:crosses val="autoZero"/>
        <c:auto val="1"/>
        <c:lblAlgn val="ctr"/>
        <c:lblOffset val="100"/>
      </c:catAx>
      <c:valAx>
        <c:axId val="317508992"/>
        <c:scaling>
          <c:orientation val="minMax"/>
        </c:scaling>
        <c:axPos val="l"/>
        <c:numFmt formatCode="#,##0" sourceLinked="1"/>
        <c:tickLblPos val="nextTo"/>
        <c:crossAx val="317507456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200"/>
      </a:pPr>
      <a:endParaRPr lang="tr-TR"/>
    </a:p>
  </c:txPr>
  <c:externalData r:id="rId1"/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MT</Company>
  <LinksUpToDate>false</LinksUpToDate>
  <CharactersWithSpaces>7118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 TUZCUOGLU</dc:creator>
  <cp:lastModifiedBy>AyseOzlemKuruca</cp:lastModifiedBy>
  <cp:revision>2</cp:revision>
  <dcterms:created xsi:type="dcterms:W3CDTF">2014-11-24T10:04:00Z</dcterms:created>
  <dcterms:modified xsi:type="dcterms:W3CDTF">2014-11-24T10:04:00Z</dcterms:modified>
</cp:coreProperties>
</file>